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2072"/>
        <w:gridCol w:w="4401"/>
      </w:tblGrid>
      <w:tr w:rsidR="00EF767D" w:rsidRPr="00C22427" w:rsidTr="00EF767D">
        <w:tc>
          <w:tcPr>
            <w:tcW w:w="3369" w:type="dxa"/>
          </w:tcPr>
          <w:p w:rsidR="00EF767D" w:rsidRPr="00C22427" w:rsidRDefault="00EF767D" w:rsidP="00EF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ГРМ</w:t>
            </w:r>
            <w:r w:rsidR="00BC02C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623D44" w:rsidRDefault="00623D44" w:rsidP="00623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філія</w:t>
            </w:r>
            <w:r w:rsidR="00EF767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767D" w:rsidRPr="00C22427" w:rsidRDefault="00623D44" w:rsidP="00623D44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EF767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Газорозподільні мережі України</w:t>
            </w:r>
            <w:r w:rsidR="00EF767D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EF767D" w:rsidRPr="00C22427" w:rsidRDefault="00EF767D" w:rsidP="00E40453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01" w:type="dxa"/>
          </w:tcPr>
          <w:p w:rsidR="00570D93" w:rsidRPr="00C22427" w:rsidRDefault="00F70249" w:rsidP="0057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Замовник / </w:t>
            </w:r>
            <w:r w:rsidR="00644686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Споживач</w:t>
            </w:r>
            <w:r w:rsidR="00570D93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70D93" w:rsidRPr="00C22427" w:rsidRDefault="00570D93" w:rsidP="00570D9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70D93" w:rsidRPr="00C22427" w:rsidRDefault="00570D93" w:rsidP="00570D9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70D93" w:rsidRPr="00C22427" w:rsidRDefault="00570D93" w:rsidP="0057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</w:p>
          <w:p w:rsidR="00570D93" w:rsidRPr="00C22427" w:rsidRDefault="00570D93" w:rsidP="005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70D93" w:rsidRPr="00C22427" w:rsidRDefault="00570D93" w:rsidP="00570D9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F767D" w:rsidRPr="00C22427" w:rsidRDefault="00570D93" w:rsidP="00570D93">
            <w:pPr>
              <w:spacing w:before="120"/>
              <w:rPr>
                <w:rFonts w:ascii="Cambria" w:hAnsi="Cambria"/>
                <w:sz w:val="26"/>
                <w:szCs w:val="26"/>
              </w:rPr>
            </w:pPr>
            <w:r w:rsidRPr="00C22427">
              <w:rPr>
                <w:rFonts w:ascii="Times New Roman" w:hAnsi="Times New Roman" w:cs="Times New Roman"/>
                <w:sz w:val="24"/>
                <w:szCs w:val="24"/>
              </w:rPr>
              <w:t>район_____________________________</w:t>
            </w:r>
          </w:p>
        </w:tc>
      </w:tr>
    </w:tbl>
    <w:p w:rsidR="00EF767D" w:rsidRPr="00C22427" w:rsidRDefault="007D22B6" w:rsidP="007D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2427">
        <w:rPr>
          <w:rFonts w:ascii="Times New Roman" w:hAnsi="Times New Roman" w:cs="Times New Roman"/>
          <w:b/>
        </w:rPr>
        <w:t xml:space="preserve"> </w:t>
      </w:r>
    </w:p>
    <w:p w:rsidR="00533D6E" w:rsidRPr="00C22427" w:rsidRDefault="00533D6E" w:rsidP="00853826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  <w:r w:rsidRPr="00C22427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:rsidR="00533D6E" w:rsidRPr="00C22427" w:rsidRDefault="00533D6E" w:rsidP="00533D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2427">
        <w:rPr>
          <w:rFonts w:ascii="Times New Roman" w:hAnsi="Times New Roman" w:cs="Times New Roman"/>
          <w:b/>
        </w:rPr>
        <w:t>на проектування організації та облаштування засобів дистанційної передачі даних (комерційний вузол обліку газу на базі побутового лічильника газу)</w:t>
      </w:r>
    </w:p>
    <w:p w:rsidR="00533D6E" w:rsidRPr="00C22427" w:rsidRDefault="00533D6E" w:rsidP="00533D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PlainTable1"/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6096"/>
      </w:tblGrid>
      <w:tr w:rsidR="00533D6E" w:rsidRPr="00C22427" w:rsidTr="00685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BDD6EE" w:themeFill="accent1" w:themeFillTint="66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№</w:t>
            </w:r>
          </w:p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36" w:type="pct"/>
            <w:shd w:val="clear" w:color="auto" w:fill="BDD6EE" w:themeFill="accent1" w:themeFillTint="66"/>
            <w:vAlign w:val="center"/>
          </w:tcPr>
          <w:p w:rsidR="00533D6E" w:rsidRPr="00C22427" w:rsidRDefault="00533D6E" w:rsidP="00752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986" w:type="pct"/>
            <w:shd w:val="clear" w:color="auto" w:fill="BDD6EE" w:themeFill="accent1" w:themeFillTint="66"/>
            <w:vAlign w:val="center"/>
          </w:tcPr>
          <w:p w:rsidR="00533D6E" w:rsidRPr="00C22427" w:rsidRDefault="00533D6E" w:rsidP="00752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Вимоги</w:t>
            </w:r>
          </w:p>
        </w:tc>
      </w:tr>
      <w:tr w:rsidR="00533D6E" w:rsidRPr="00C2242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Перелік даних, що передаються до Оператора ГРМ</w:t>
            </w:r>
          </w:p>
        </w:tc>
        <w:tc>
          <w:tcPr>
            <w:tcW w:w="2986" w:type="pct"/>
            <w:vAlign w:val="center"/>
          </w:tcPr>
          <w:p w:rsidR="00533D6E" w:rsidRPr="00C22427" w:rsidRDefault="00533D6E" w:rsidP="00533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Перелік даних перераховано в протоколі передачі даних (</w:t>
            </w:r>
            <w:proofErr w:type="spellStart"/>
            <w:r w:rsidRPr="00C22427">
              <w:rPr>
                <w:rFonts w:ascii="Times New Roman" w:hAnsi="Times New Roman" w:cs="Times New Roman"/>
              </w:rPr>
              <w:t>ст</w:t>
            </w:r>
            <w:r w:rsidR="00623D44">
              <w:rPr>
                <w:rFonts w:ascii="Times New Roman" w:hAnsi="Times New Roman" w:cs="Times New Roman"/>
              </w:rPr>
              <w:t>о</w:t>
            </w:r>
            <w:r w:rsidRPr="00C22427">
              <w:rPr>
                <w:rFonts w:ascii="Times New Roman" w:hAnsi="Times New Roman" w:cs="Times New Roman"/>
              </w:rPr>
              <w:t>р</w:t>
            </w:r>
            <w:proofErr w:type="spellEnd"/>
            <w:r w:rsidRPr="00C22427">
              <w:rPr>
                <w:rFonts w:ascii="Times New Roman" w:hAnsi="Times New Roman" w:cs="Times New Roman"/>
              </w:rPr>
              <w:t>. 12 та далі по тексту).</w:t>
            </w:r>
          </w:p>
        </w:tc>
      </w:tr>
      <w:tr w:rsidR="00533D6E" w:rsidRPr="00C2242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Протокол передачі даних</w:t>
            </w:r>
          </w:p>
        </w:tc>
        <w:tc>
          <w:tcPr>
            <w:tcW w:w="2986" w:type="pct"/>
            <w:vAlign w:val="center"/>
          </w:tcPr>
          <w:p w:rsidR="00533D6E" w:rsidRPr="00C22427" w:rsidRDefault="00AE3C84" w:rsidP="00623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Додається (сайт </w:t>
            </w:r>
            <w:hyperlink r:id="rId8" w:history="1">
              <w:r w:rsidR="00623D44" w:rsidRPr="00163FFB">
                <w:rPr>
                  <w:rStyle w:val="ab"/>
                </w:rPr>
                <w:t>https://vn.grmu.com.ua/</w:t>
              </w:r>
            </w:hyperlink>
            <w:r w:rsidR="00623D44">
              <w:t xml:space="preserve"> </w:t>
            </w:r>
            <w:r w:rsidRPr="00C22427">
              <w:rPr>
                <w:rFonts w:ascii="Times New Roman" w:hAnsi="Times New Roman" w:cs="Times New Roman"/>
              </w:rPr>
              <w:t xml:space="preserve">– </w:t>
            </w:r>
            <w:r w:rsidR="00623D44">
              <w:rPr>
                <w:rFonts w:ascii="Times New Roman" w:hAnsi="Times New Roman" w:cs="Times New Roman"/>
              </w:rPr>
              <w:t>Важлива і</w:t>
            </w:r>
            <w:r w:rsidR="00E9031E">
              <w:rPr>
                <w:rFonts w:ascii="Times New Roman" w:hAnsi="Times New Roman" w:cs="Times New Roman"/>
              </w:rPr>
              <w:t xml:space="preserve">нформація </w:t>
            </w:r>
            <w:r w:rsidRPr="00C22427">
              <w:rPr>
                <w:rFonts w:ascii="Times New Roman" w:hAnsi="Times New Roman" w:cs="Times New Roman"/>
              </w:rPr>
              <w:t xml:space="preserve">/ </w:t>
            </w:r>
            <w:r w:rsidR="00623D44">
              <w:rPr>
                <w:rFonts w:ascii="Times New Roman" w:hAnsi="Times New Roman" w:cs="Times New Roman"/>
              </w:rPr>
              <w:t xml:space="preserve">Споживачам, що не є побутовими / </w:t>
            </w:r>
            <w:hyperlink r:id="rId9" w:history="1">
              <w:r w:rsidRPr="00C22427">
                <w:rPr>
                  <w:rFonts w:ascii="Times New Roman" w:hAnsi="Times New Roman" w:cs="Times New Roman"/>
                  <w:lang w:eastAsia="uk-UA"/>
                </w:rPr>
                <w:t>Вимоги до дистанційної передачі даних ВОГ</w:t>
              </w:r>
            </w:hyperlink>
            <w:r w:rsidRPr="00C2242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</w:tr>
      <w:tr w:rsidR="00533D6E" w:rsidRPr="00C2242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Перелік місць установлення засобів дистанційної передачі даних</w:t>
            </w:r>
          </w:p>
        </w:tc>
        <w:tc>
          <w:tcPr>
            <w:tcW w:w="2986" w:type="pct"/>
            <w:vAlign w:val="center"/>
          </w:tcPr>
          <w:p w:rsidR="00533D6E" w:rsidRPr="00C22427" w:rsidRDefault="00533D6E" w:rsidP="00533D6E">
            <w:pPr>
              <w:tabs>
                <w:tab w:val="left" w:pos="31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1. </w:t>
            </w:r>
            <w:r w:rsidRPr="00C22427">
              <w:rPr>
                <w:rFonts w:ascii="Times New Roman" w:hAnsi="Times New Roman" w:cs="Times New Roman"/>
              </w:rPr>
              <w:tab/>
              <w:t xml:space="preserve">Монтуються згідно анотацій виробника, з дотриманням правил безпеки систем газопостачання України. </w:t>
            </w:r>
          </w:p>
          <w:p w:rsidR="00533D6E" w:rsidRPr="00C22427" w:rsidRDefault="00533D6E" w:rsidP="00533D6E">
            <w:pPr>
              <w:tabs>
                <w:tab w:val="left" w:pos="32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2. </w:t>
            </w:r>
            <w:r w:rsidRPr="00C22427">
              <w:rPr>
                <w:rFonts w:ascii="Times New Roman" w:hAnsi="Times New Roman" w:cs="Times New Roman"/>
              </w:rPr>
              <w:tab/>
              <w:t>Встановлення, монтування і обслуговування засобів дистанційної передачі даних повинні проводити тільки працівники спеціалізованих організацій, які мають на це дозвіл.</w:t>
            </w:r>
          </w:p>
        </w:tc>
      </w:tr>
      <w:tr w:rsidR="00533D6E" w:rsidRPr="00C2242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Перелік місць установлення комунікаційного обладнання</w:t>
            </w:r>
          </w:p>
        </w:tc>
        <w:tc>
          <w:tcPr>
            <w:tcW w:w="2986" w:type="pct"/>
            <w:vAlign w:val="center"/>
          </w:tcPr>
          <w:p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1. </w:t>
            </w:r>
            <w:r w:rsidRPr="00C22427">
              <w:rPr>
                <w:rFonts w:ascii="Times New Roman" w:hAnsi="Times New Roman" w:cs="Times New Roman"/>
              </w:rPr>
              <w:tab/>
              <w:t xml:space="preserve">Згідно анотацій </w:t>
            </w:r>
            <w:r w:rsidR="002C25CA">
              <w:rPr>
                <w:rFonts w:ascii="Times New Roman" w:hAnsi="Times New Roman" w:cs="Times New Roman"/>
              </w:rPr>
              <w:t>виробника з дотриманням вимог П</w:t>
            </w:r>
            <w:r w:rsidR="002C25CA" w:rsidRPr="00151CC6">
              <w:rPr>
                <w:rFonts w:ascii="Times New Roman" w:hAnsi="Times New Roman" w:cs="Times New Roman"/>
                <w:lang w:val="ru-RU"/>
              </w:rPr>
              <w:t>У</w:t>
            </w:r>
            <w:r w:rsidRPr="00C22427">
              <w:rPr>
                <w:rFonts w:ascii="Times New Roman" w:hAnsi="Times New Roman" w:cs="Times New Roman"/>
              </w:rPr>
              <w:t>Е</w:t>
            </w:r>
            <w:r w:rsidR="00151CC6">
              <w:rPr>
                <w:rFonts w:ascii="Times New Roman" w:hAnsi="Times New Roman" w:cs="Times New Roman"/>
              </w:rPr>
              <w:t>.</w:t>
            </w:r>
          </w:p>
          <w:p w:rsidR="00533D6E" w:rsidRPr="00C22427" w:rsidRDefault="00533D6E" w:rsidP="00533D6E">
            <w:pPr>
              <w:tabs>
                <w:tab w:val="left" w:pos="3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2. </w:t>
            </w:r>
            <w:r w:rsidRPr="00C22427">
              <w:rPr>
                <w:rFonts w:ascii="Times New Roman" w:hAnsi="Times New Roman" w:cs="Times New Roman"/>
              </w:rPr>
              <w:tab/>
              <w:t>Доступних для огляду та перевірки з урахуванням вимог, що передбачені заводами виробниками та діючими нормами та правилами.</w:t>
            </w:r>
          </w:p>
          <w:p w:rsidR="00533D6E" w:rsidRPr="00C22427" w:rsidRDefault="00533D6E" w:rsidP="00533D6E">
            <w:pPr>
              <w:tabs>
                <w:tab w:val="left" w:pos="35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3. </w:t>
            </w:r>
            <w:r w:rsidRPr="00C22427">
              <w:rPr>
                <w:rFonts w:ascii="Times New Roman" w:hAnsi="Times New Roman" w:cs="Times New Roman"/>
              </w:rPr>
              <w:tab/>
              <w:t>Приміщення в яких забезпечено постійний мобільний зв'язок.</w:t>
            </w:r>
          </w:p>
        </w:tc>
      </w:tr>
      <w:tr w:rsidR="00533D6E" w:rsidRPr="00C2242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Інформація про параметри каналів зв’язку, які будуть застосовуватись для зчитування та передачі даних з комерційного вузла обліку</w:t>
            </w:r>
          </w:p>
        </w:tc>
        <w:tc>
          <w:tcPr>
            <w:tcW w:w="2986" w:type="pct"/>
            <w:vAlign w:val="center"/>
          </w:tcPr>
          <w:p w:rsidR="00533D6E" w:rsidRPr="00C22427" w:rsidRDefault="00E9031E" w:rsidP="00E90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GPRS</w:t>
            </w:r>
          </w:p>
        </w:tc>
      </w:tr>
      <w:tr w:rsidR="00533D6E" w:rsidRPr="00C2242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Рекомендації щодо апаратного та програмного інтерфейсу лічильників</w:t>
            </w:r>
          </w:p>
        </w:tc>
        <w:tc>
          <w:tcPr>
            <w:tcW w:w="2986" w:type="pct"/>
            <w:vAlign w:val="center"/>
          </w:tcPr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Лічильник повинен бути обладнаний низькочастотним виходом.</w:t>
            </w:r>
          </w:p>
        </w:tc>
      </w:tr>
      <w:tr w:rsidR="00533D6E" w:rsidRPr="00C22427" w:rsidTr="006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Умови спільного використання введених в експлуатацію засобів дистанційної передачі даних, встановлених на комерційному вузлі обліку</w:t>
            </w:r>
          </w:p>
        </w:tc>
        <w:tc>
          <w:tcPr>
            <w:tcW w:w="2986" w:type="pct"/>
            <w:vAlign w:val="center"/>
          </w:tcPr>
          <w:p w:rsidR="00533D6E" w:rsidRPr="00C22427" w:rsidRDefault="00533D6E" w:rsidP="00533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Безперервно, цілодобово, на одночасних паритетних засадах.</w:t>
            </w:r>
          </w:p>
        </w:tc>
      </w:tr>
      <w:tr w:rsidR="00533D6E" w:rsidRPr="00C22427" w:rsidTr="0068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Align w:val="center"/>
          </w:tcPr>
          <w:p w:rsidR="00533D6E" w:rsidRPr="00C22427" w:rsidRDefault="00533D6E" w:rsidP="00752AB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24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6" w:type="pct"/>
            <w:vAlign w:val="center"/>
          </w:tcPr>
          <w:p w:rsidR="00533D6E" w:rsidRPr="00C22427" w:rsidRDefault="00533D6E" w:rsidP="00752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>Інші обґрунтовані вимоги щодо облаштування засобів дистанційної передачі даних на комерційному вузлі обліку</w:t>
            </w:r>
          </w:p>
        </w:tc>
        <w:tc>
          <w:tcPr>
            <w:tcW w:w="2986" w:type="pct"/>
            <w:vAlign w:val="center"/>
          </w:tcPr>
          <w:p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1.</w:t>
            </w:r>
            <w:r w:rsidRPr="00C22427">
              <w:rPr>
                <w:rFonts w:ascii="Times New Roman" w:hAnsi="Times New Roman" w:cs="Times New Roman"/>
              </w:rPr>
              <w:tab/>
              <w:t>До пристрою повинна бути додана програма управління, далі сервісна програма - СВ, повинна забезпечити автоматизований одночасний обмін пакетами TCP/IP.</w:t>
            </w:r>
          </w:p>
          <w:p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2. </w:t>
            </w:r>
            <w:r w:rsidRPr="00C22427">
              <w:rPr>
                <w:rFonts w:ascii="Times New Roman" w:hAnsi="Times New Roman" w:cs="Times New Roman"/>
              </w:rPr>
              <w:tab/>
              <w:t>Пристрій повинен надсилати інформацію з вузлів обліку по заданому розкладу, без додаткового запиту зверху (з боку диспетчера).</w:t>
            </w:r>
          </w:p>
          <w:p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3. </w:t>
            </w:r>
            <w:r w:rsidRPr="00C22427">
              <w:rPr>
                <w:rFonts w:ascii="Times New Roman" w:hAnsi="Times New Roman" w:cs="Times New Roman"/>
              </w:rPr>
              <w:tab/>
              <w:t>Пристрій повинен забезпечити: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Коректну передачу інформації лічильника, незалежно від року випуску.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Опитування лічильника за допомогою програми опитування верхнього рівня, далі ПВР, наданої виробником, без додаткових витрат з боку споживача.</w:t>
            </w:r>
          </w:p>
          <w:p w:rsidR="00605D26" w:rsidRPr="00C22427" w:rsidRDefault="00605D26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05D26" w:rsidRPr="00C22427" w:rsidRDefault="00605D26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33D6E" w:rsidRPr="00C22427" w:rsidRDefault="00533D6E" w:rsidP="00533D6E">
            <w:pPr>
              <w:tabs>
                <w:tab w:val="left" w:pos="3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4. </w:t>
            </w:r>
            <w:r w:rsidRPr="00C22427">
              <w:rPr>
                <w:rFonts w:ascii="Times New Roman" w:hAnsi="Times New Roman" w:cs="Times New Roman"/>
              </w:rPr>
              <w:tab/>
              <w:t>Формування та передача звітів повинні починатися без додаткових запитів, а саме по завершенню відповідного звітного інтервалу часу: годинні звіти з початком нової години, добові з початком нової контрактної доби і т.д.</w:t>
            </w:r>
          </w:p>
          <w:p w:rsidR="00533D6E" w:rsidRPr="00C22427" w:rsidRDefault="00533D6E" w:rsidP="00533D6E">
            <w:pPr>
              <w:tabs>
                <w:tab w:val="left" w:pos="31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5. </w:t>
            </w:r>
            <w:r w:rsidRPr="00C22427">
              <w:rPr>
                <w:rFonts w:ascii="Times New Roman" w:hAnsi="Times New Roman" w:cs="Times New Roman"/>
              </w:rPr>
              <w:tab/>
              <w:t>Сервісне програмне забезпечення для віддаленого управління, контролю та налагодження контролерів і масивів, повинно передбачати наступне: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Налагодження вибору переліку об’єктів.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Налагодження періодичності передачі даних.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Налагодження параметрів переданої інформації .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Забезпечення контролю успішно проведених сеансів зв’язку в розрізі кожного об’єкту (канал/лінія в разі наявності).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• Всі недоліки, доповнення, зміни в сервісну програму виробник усуває безкоштовно протягом першого року експлуатації пристроїв. Проводити вибірки по будь-яким заданим параметрам: наприклад, такі як, реєстр неопитаних ВОГ, перелік ВОГ де було зафіксовано відключення живлення по групі або окремо взятих відділеннях та інші.</w:t>
            </w:r>
          </w:p>
          <w:p w:rsidR="00533D6E" w:rsidRPr="00C22427" w:rsidRDefault="00533D6E" w:rsidP="00533D6E">
            <w:pPr>
              <w:tabs>
                <w:tab w:val="left" w:pos="4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5.1. </w:t>
            </w:r>
            <w:r w:rsidRPr="00C22427">
              <w:rPr>
                <w:rFonts w:ascii="Times New Roman" w:hAnsi="Times New Roman" w:cs="Times New Roman"/>
              </w:rPr>
              <w:tab/>
              <w:t>Сервісна програма повинна забезпечити можливість зміни розкладу надання інформації, інтервал за який надається інформація, періодичність та перелік параметрів, що необхідно пересилати.</w:t>
            </w:r>
          </w:p>
          <w:p w:rsidR="00533D6E" w:rsidRPr="00C22427" w:rsidRDefault="00533D6E" w:rsidP="00533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6. Мати можливість заводити та ідентифікувати систему унікальних ідентифікаторів для контролерів в розрізі структурних підрозділів (відділень), оператора ГРМ, ГРС (АГРС) та місця монтажу пристрою.</w:t>
            </w:r>
          </w:p>
          <w:p w:rsidR="00533D6E" w:rsidRPr="00C22427" w:rsidRDefault="00533D6E" w:rsidP="00533D6E">
            <w:pPr>
              <w:tabs>
                <w:tab w:val="left" w:pos="31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7. </w:t>
            </w:r>
            <w:r w:rsidRPr="00C22427">
              <w:rPr>
                <w:rFonts w:ascii="Times New Roman" w:hAnsi="Times New Roman" w:cs="Times New Roman"/>
              </w:rPr>
              <w:tab/>
              <w:t>Забезпечити діагностичний функціонал, щодо стану SIM карти (відключення живлення, затримка у передачі даних, пов’язаних із завантаженістю мережі мобільного оператора, інформацію щодо коректності зазначеного мобільного телефону, інформацію про залишок коштів на рахунку, GPS координати вузла).</w:t>
            </w:r>
          </w:p>
          <w:p w:rsidR="00533D6E" w:rsidRPr="00C22427" w:rsidRDefault="00533D6E" w:rsidP="00533D6E">
            <w:pPr>
              <w:tabs>
                <w:tab w:val="left" w:pos="3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 xml:space="preserve">8. </w:t>
            </w:r>
            <w:r w:rsidRPr="00C22427">
              <w:rPr>
                <w:rFonts w:ascii="Times New Roman" w:hAnsi="Times New Roman" w:cs="Times New Roman"/>
              </w:rPr>
              <w:tab/>
              <w:t>Пристрій має забезпечувати зв’язок з програмою опитування за допомогою мо</w:t>
            </w:r>
            <w:r w:rsidR="00A26E07">
              <w:rPr>
                <w:rFonts w:ascii="Times New Roman" w:hAnsi="Times New Roman" w:cs="Times New Roman"/>
              </w:rPr>
              <w:t>дему, що підтримує TCP/IP та GPRS</w:t>
            </w:r>
            <w:r w:rsidRPr="00C22427">
              <w:rPr>
                <w:rFonts w:ascii="Times New Roman" w:hAnsi="Times New Roman" w:cs="Times New Roman"/>
              </w:rPr>
              <w:t xml:space="preserve"> в мережі мобільного оператора.</w:t>
            </w:r>
          </w:p>
        </w:tc>
      </w:tr>
    </w:tbl>
    <w:p w:rsidR="00533D6E" w:rsidRPr="00C22427" w:rsidRDefault="00533D6E" w:rsidP="00A33334">
      <w:pPr>
        <w:spacing w:after="0" w:line="240" w:lineRule="auto"/>
        <w:rPr>
          <w:rFonts w:ascii="Times New Roman" w:hAnsi="Times New Roman" w:cs="Times New Roman"/>
          <w:b/>
        </w:rPr>
      </w:pPr>
    </w:p>
    <w:p w:rsidR="007D22B6" w:rsidRPr="00C22427" w:rsidRDefault="007D22B6" w:rsidP="00A33334">
      <w:pPr>
        <w:spacing w:after="0" w:line="240" w:lineRule="auto"/>
        <w:rPr>
          <w:rFonts w:ascii="Times New Roman" w:hAnsi="Times New Roman" w:cs="Times New Roman"/>
        </w:rPr>
      </w:pPr>
    </w:p>
    <w:p w:rsidR="00533D6E" w:rsidRPr="00C22427" w:rsidRDefault="00533D6E" w:rsidP="00A33334">
      <w:pPr>
        <w:spacing w:after="0" w:line="240" w:lineRule="auto"/>
        <w:rPr>
          <w:rFonts w:ascii="Times New Roman" w:hAnsi="Times New Roman" w:cs="Times New Roman"/>
        </w:rPr>
      </w:pPr>
    </w:p>
    <w:p w:rsidR="00533D6E" w:rsidRPr="00C22427" w:rsidRDefault="00533D6E" w:rsidP="00A33334">
      <w:pPr>
        <w:spacing w:after="0" w:line="240" w:lineRule="auto"/>
        <w:rPr>
          <w:rFonts w:ascii="Times New Roman" w:hAnsi="Times New Roman" w:cs="Times New Roman"/>
        </w:rPr>
      </w:pPr>
    </w:p>
    <w:p w:rsidR="002908AB" w:rsidRPr="00C22427" w:rsidRDefault="002908AB" w:rsidP="00A33334">
      <w:pPr>
        <w:spacing w:after="0" w:line="240" w:lineRule="auto"/>
        <w:rPr>
          <w:rFonts w:ascii="Times New Roman" w:hAnsi="Times New Roman" w:cs="Times New Roman"/>
        </w:rPr>
      </w:pPr>
    </w:p>
    <w:p w:rsidR="002908AB" w:rsidRPr="00C22427" w:rsidRDefault="002908AB" w:rsidP="00A333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A3D62" w:rsidRPr="00C22427" w:rsidTr="00236DDC">
        <w:tc>
          <w:tcPr>
            <w:tcW w:w="9923" w:type="dxa"/>
          </w:tcPr>
          <w:p w:rsidR="006A3D62" w:rsidRPr="00C22427" w:rsidRDefault="006A3D62" w:rsidP="006A3D62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 xml:space="preserve">Представники </w:t>
            </w:r>
            <w:r w:rsidR="007F4665">
              <w:rPr>
                <w:rFonts w:ascii="Times New Roman" w:hAnsi="Times New Roman" w:cs="Times New Roman"/>
                <w:b/>
              </w:rPr>
              <w:t>Вінницької філії ТОВ</w:t>
            </w:r>
            <w:r w:rsidRPr="00C22427">
              <w:rPr>
                <w:rFonts w:ascii="Times New Roman" w:hAnsi="Times New Roman" w:cs="Times New Roman"/>
                <w:b/>
              </w:rPr>
              <w:t xml:space="preserve"> «</w:t>
            </w:r>
            <w:r w:rsidR="007F4665">
              <w:rPr>
                <w:rFonts w:ascii="Times New Roman" w:hAnsi="Times New Roman" w:cs="Times New Roman"/>
                <w:b/>
              </w:rPr>
              <w:t>Газорозподільні мережі України</w:t>
            </w:r>
            <w:bookmarkStart w:id="0" w:name="_GoBack"/>
            <w:bookmarkEnd w:id="0"/>
            <w:r w:rsidRPr="00C22427">
              <w:rPr>
                <w:rFonts w:ascii="Times New Roman" w:hAnsi="Times New Roman" w:cs="Times New Roman"/>
                <w:b/>
              </w:rPr>
              <w:t>»:</w:t>
            </w:r>
          </w:p>
          <w:p w:rsidR="006A3D62" w:rsidRPr="00C22427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:rsidR="006A3D62" w:rsidRPr="00C22427" w:rsidRDefault="006A3D62" w:rsidP="006A3D62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22427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  <w:p w:rsidR="006A3D62" w:rsidRPr="00C22427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C22427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:rsidR="006A3D62" w:rsidRPr="00C22427" w:rsidRDefault="006A3D62" w:rsidP="006A3D6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2427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22427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</w:tc>
      </w:tr>
    </w:tbl>
    <w:p w:rsidR="00CC02C0" w:rsidRPr="00C22427" w:rsidRDefault="00CC02C0" w:rsidP="00234A4F">
      <w:pPr>
        <w:spacing w:after="0" w:line="240" w:lineRule="auto"/>
        <w:rPr>
          <w:rFonts w:ascii="Times New Roman" w:hAnsi="Times New Roman" w:cs="Times New Roman"/>
        </w:rPr>
      </w:pPr>
    </w:p>
    <w:sectPr w:rsidR="00CC02C0" w:rsidRPr="00C22427" w:rsidSect="004363BE">
      <w:footerReference w:type="default" r:id="rId10"/>
      <w:pgSz w:w="11906" w:h="16838"/>
      <w:pgMar w:top="454" w:right="851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B8" w:rsidRDefault="00A027B8" w:rsidP="004363BE">
      <w:pPr>
        <w:spacing w:after="0" w:line="240" w:lineRule="auto"/>
      </w:pPr>
      <w:r>
        <w:separator/>
      </w:r>
    </w:p>
  </w:endnote>
  <w:endnote w:type="continuationSeparator" w:id="0">
    <w:p w:rsidR="00A027B8" w:rsidRDefault="00A027B8" w:rsidP="0043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0" w:type="pct"/>
      <w:tblInd w:w="-176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58"/>
      <w:gridCol w:w="850"/>
    </w:tblGrid>
    <w:tr w:rsidR="004363BE" w:rsidRPr="00C06788" w:rsidTr="009106A0">
      <w:tc>
        <w:tcPr>
          <w:tcW w:w="9357" w:type="dxa"/>
          <w:tcBorders>
            <w:top w:val="single" w:sz="4" w:space="0" w:color="auto"/>
            <w:right w:val="single" w:sz="4" w:space="0" w:color="auto"/>
          </w:tcBorders>
        </w:tcPr>
        <w:p w:rsidR="004363BE" w:rsidRPr="00C06788" w:rsidRDefault="0065327E" w:rsidP="00533D6E">
          <w:pPr>
            <w:pStyle w:val="a9"/>
            <w:ind w:right="425"/>
            <w:jc w:val="right"/>
            <w:rPr>
              <w:rFonts w:ascii="Calibri" w:hAnsi="Calibri"/>
              <w:i/>
              <w:color w:val="808080"/>
              <w:sz w:val="18"/>
              <w:szCs w:val="18"/>
            </w:rPr>
          </w:pPr>
          <w:r>
            <w:rPr>
              <w:rFonts w:ascii="Calibri" w:hAnsi="Calibri"/>
              <w:i/>
              <w:color w:val="808080"/>
              <w:sz w:val="18"/>
              <w:szCs w:val="18"/>
            </w:rPr>
            <w:t>Технічне завдання на проектування дистанційної передачі даних ВОГ (</w:t>
          </w:r>
          <w:r w:rsidR="00533D6E">
            <w:rPr>
              <w:rFonts w:ascii="Calibri" w:hAnsi="Calibri"/>
              <w:i/>
              <w:color w:val="808080"/>
              <w:sz w:val="18"/>
              <w:szCs w:val="18"/>
            </w:rPr>
            <w:t>побутовий лічильник газу</w:t>
          </w:r>
          <w:r>
            <w:rPr>
              <w:rFonts w:ascii="Calibri" w:hAnsi="Calibri"/>
              <w:i/>
              <w:color w:val="808080"/>
              <w:sz w:val="18"/>
              <w:szCs w:val="18"/>
            </w:rPr>
            <w:t>)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</w:tcBorders>
        </w:tcPr>
        <w:p w:rsidR="004363BE" w:rsidRPr="00D22783" w:rsidRDefault="001112FC" w:rsidP="00E40453">
          <w:pPr>
            <w:pStyle w:val="a9"/>
            <w:jc w:val="center"/>
            <w:rPr>
              <w:sz w:val="20"/>
            </w:rPr>
          </w:pPr>
          <w:r w:rsidRPr="00D22783">
            <w:rPr>
              <w:rFonts w:ascii="Calibri" w:hAnsi="Calibri"/>
              <w:sz w:val="20"/>
            </w:rPr>
            <w:fldChar w:fldCharType="begin"/>
          </w:r>
          <w:r w:rsidR="004363BE" w:rsidRPr="00D22783">
            <w:rPr>
              <w:rFonts w:ascii="Calibri" w:hAnsi="Calibri"/>
              <w:sz w:val="20"/>
            </w:rPr>
            <w:instrText xml:space="preserve"> PAGE   \* MERGEFORMAT </w:instrText>
          </w:r>
          <w:r w:rsidRPr="00D22783">
            <w:rPr>
              <w:rFonts w:ascii="Calibri" w:hAnsi="Calibri"/>
              <w:sz w:val="20"/>
            </w:rPr>
            <w:fldChar w:fldCharType="separate"/>
          </w:r>
          <w:r w:rsidR="007F4665" w:rsidRPr="007F4665">
            <w:rPr>
              <w:rFonts w:ascii="Calibri" w:hAnsi="Calibri"/>
              <w:b/>
              <w:noProof/>
              <w:sz w:val="20"/>
            </w:rPr>
            <w:t>1</w:t>
          </w:r>
          <w:r w:rsidRPr="00D22783">
            <w:rPr>
              <w:rFonts w:ascii="Calibri" w:hAnsi="Calibri"/>
              <w:sz w:val="20"/>
            </w:rPr>
            <w:fldChar w:fldCharType="end"/>
          </w:r>
        </w:p>
      </w:tc>
    </w:tr>
  </w:tbl>
  <w:p w:rsidR="004363BE" w:rsidRPr="0065327E" w:rsidRDefault="004363BE" w:rsidP="0065327E">
    <w:pPr>
      <w:pStyle w:val="a9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B8" w:rsidRDefault="00A027B8" w:rsidP="004363BE">
      <w:pPr>
        <w:spacing w:after="0" w:line="240" w:lineRule="auto"/>
      </w:pPr>
      <w:r>
        <w:separator/>
      </w:r>
    </w:p>
  </w:footnote>
  <w:footnote w:type="continuationSeparator" w:id="0">
    <w:p w:rsidR="00A027B8" w:rsidRDefault="00A027B8" w:rsidP="00436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2B6"/>
    <w:rsid w:val="00010AAE"/>
    <w:rsid w:val="000753DA"/>
    <w:rsid w:val="001112FC"/>
    <w:rsid w:val="00151CC6"/>
    <w:rsid w:val="001850BB"/>
    <w:rsid w:val="00234A4F"/>
    <w:rsid w:val="002442EC"/>
    <w:rsid w:val="00260D20"/>
    <w:rsid w:val="002717BB"/>
    <w:rsid w:val="00280F30"/>
    <w:rsid w:val="002907F4"/>
    <w:rsid w:val="002908AB"/>
    <w:rsid w:val="002A6BD7"/>
    <w:rsid w:val="002C25CA"/>
    <w:rsid w:val="003B0F18"/>
    <w:rsid w:val="003F5F45"/>
    <w:rsid w:val="004363BE"/>
    <w:rsid w:val="004A1F73"/>
    <w:rsid w:val="004A37C0"/>
    <w:rsid w:val="004D5A05"/>
    <w:rsid w:val="00533D6E"/>
    <w:rsid w:val="00550124"/>
    <w:rsid w:val="00560B43"/>
    <w:rsid w:val="00570D93"/>
    <w:rsid w:val="00605D26"/>
    <w:rsid w:val="00605FB1"/>
    <w:rsid w:val="00611497"/>
    <w:rsid w:val="00623D44"/>
    <w:rsid w:val="00644686"/>
    <w:rsid w:val="0065327E"/>
    <w:rsid w:val="006850FF"/>
    <w:rsid w:val="006A3D62"/>
    <w:rsid w:val="006B4A01"/>
    <w:rsid w:val="006D3F0E"/>
    <w:rsid w:val="00756D62"/>
    <w:rsid w:val="007D22B6"/>
    <w:rsid w:val="007E276D"/>
    <w:rsid w:val="007F4665"/>
    <w:rsid w:val="008222AB"/>
    <w:rsid w:val="00853826"/>
    <w:rsid w:val="009106A0"/>
    <w:rsid w:val="0093246D"/>
    <w:rsid w:val="00943837"/>
    <w:rsid w:val="00966B1C"/>
    <w:rsid w:val="009A18F8"/>
    <w:rsid w:val="009B3DD8"/>
    <w:rsid w:val="009D7E74"/>
    <w:rsid w:val="00A027B8"/>
    <w:rsid w:val="00A26E07"/>
    <w:rsid w:val="00A33334"/>
    <w:rsid w:val="00AD3146"/>
    <w:rsid w:val="00AE3C84"/>
    <w:rsid w:val="00AF2F68"/>
    <w:rsid w:val="00B10208"/>
    <w:rsid w:val="00B347F8"/>
    <w:rsid w:val="00BC02CD"/>
    <w:rsid w:val="00BC2EA4"/>
    <w:rsid w:val="00C22427"/>
    <w:rsid w:val="00CC02C0"/>
    <w:rsid w:val="00D06B07"/>
    <w:rsid w:val="00D10557"/>
    <w:rsid w:val="00D24435"/>
    <w:rsid w:val="00D40223"/>
    <w:rsid w:val="00D77894"/>
    <w:rsid w:val="00D94A39"/>
    <w:rsid w:val="00DA1EC0"/>
    <w:rsid w:val="00DB7E21"/>
    <w:rsid w:val="00E14DC3"/>
    <w:rsid w:val="00E20017"/>
    <w:rsid w:val="00E3251F"/>
    <w:rsid w:val="00E9031E"/>
    <w:rsid w:val="00ED56B5"/>
    <w:rsid w:val="00EE439D"/>
    <w:rsid w:val="00EF767D"/>
    <w:rsid w:val="00F70249"/>
    <w:rsid w:val="00F81CCD"/>
    <w:rsid w:val="00FC054F"/>
    <w:rsid w:val="00FF0124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1C"/>
  </w:style>
  <w:style w:type="paragraph" w:styleId="1">
    <w:name w:val="heading 1"/>
    <w:basedOn w:val="a"/>
    <w:next w:val="a"/>
    <w:link w:val="10"/>
    <w:qFormat/>
    <w:rsid w:val="004363BE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F18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E14D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F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63BE"/>
  </w:style>
  <w:style w:type="paragraph" w:styleId="a9">
    <w:name w:val="footer"/>
    <w:basedOn w:val="a"/>
    <w:link w:val="aa"/>
    <w:uiPriority w:val="99"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3BE"/>
  </w:style>
  <w:style w:type="character" w:customStyle="1" w:styleId="10">
    <w:name w:val="Заголовок 1 Знак"/>
    <w:basedOn w:val="a0"/>
    <w:link w:val="1"/>
    <w:rsid w:val="004363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b">
    <w:name w:val="Hyperlink"/>
    <w:basedOn w:val="a0"/>
    <w:uiPriority w:val="99"/>
    <w:unhideWhenUsed/>
    <w:rsid w:val="00AE3C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.grmu.com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gaz.te.ua/index.php/spozhyvacham/vymohy-do-komertsiinykh-vuzliv-obli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CD43-6518-4D0C-BAFF-BB228B10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Chernyha R S</dc:creator>
  <cp:lastModifiedBy>Логінова Лариса Григорівна</cp:lastModifiedBy>
  <cp:revision>25</cp:revision>
  <cp:lastPrinted>2019-12-16T10:14:00Z</cp:lastPrinted>
  <dcterms:created xsi:type="dcterms:W3CDTF">2017-08-23T09:27:00Z</dcterms:created>
  <dcterms:modified xsi:type="dcterms:W3CDTF">2024-12-02T06:17:00Z</dcterms:modified>
</cp:coreProperties>
</file>