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7"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8"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9"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10" w:anchor="n3149" w:tgtFrame="_blank" w:history="1">
        <w:r w:rsidRPr="00BA4084">
          <w:rPr>
            <w:rStyle w:val="arvts96"/>
            <w:color w:val="auto"/>
            <w:lang w:val="uk" w:eastAsia="uk"/>
          </w:rPr>
          <w:t>634</w:t>
        </w:r>
      </w:hyperlink>
      <w:r w:rsidRPr="00BA4084">
        <w:rPr>
          <w:rStyle w:val="spanrvts0"/>
          <w:lang w:val="uk" w:eastAsia="uk"/>
        </w:rPr>
        <w:t xml:space="preserve">, </w:t>
      </w:r>
      <w:hyperlink r:id="rId11" w:anchor="n3186" w:tgtFrame="_blank" w:history="1">
        <w:r w:rsidRPr="00BA4084">
          <w:rPr>
            <w:rStyle w:val="arvts96"/>
            <w:color w:val="auto"/>
            <w:lang w:val="uk" w:eastAsia="uk"/>
          </w:rPr>
          <w:t>641</w:t>
        </w:r>
      </w:hyperlink>
      <w:r w:rsidRPr="00BA4084">
        <w:rPr>
          <w:rStyle w:val="spanrvts0"/>
          <w:lang w:val="uk" w:eastAsia="uk"/>
        </w:rPr>
        <w:t xml:space="preserve"> та </w:t>
      </w:r>
      <w:hyperlink r:id="rId12"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4"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C663FE" w14:paraId="47B57546" w14:textId="77777777" w:rsidTr="00F21FDF">
        <w:trPr>
          <w:jc w:val="center"/>
        </w:trPr>
        <w:tc>
          <w:tcPr>
            <w:tcW w:w="9973" w:type="dxa"/>
            <w:shd w:val="clear" w:color="auto" w:fill="auto"/>
            <w:tcMar>
              <w:top w:w="0" w:type="dxa"/>
              <w:left w:w="0" w:type="dxa"/>
              <w:bottom w:w="0" w:type="dxa"/>
              <w:right w:w="0" w:type="dxa"/>
            </w:tcMar>
            <w:hideMark/>
          </w:tcPr>
          <w:p w14:paraId="383367BE" w14:textId="319947BC" w:rsidR="00D23ED5" w:rsidRPr="00C663FE" w:rsidRDefault="0048180A" w:rsidP="00104E7F">
            <w:pPr>
              <w:pStyle w:val="a4"/>
              <w:spacing w:after="225"/>
              <w:jc w:val="both"/>
              <w:textAlignment w:val="baseline"/>
              <w:rPr>
                <w:color w:val="000000"/>
                <w:shd w:val="clear" w:color="auto" w:fill="FFFFFF"/>
                <w:lang w:val="uk"/>
              </w:rPr>
            </w:pPr>
            <w:bookmarkStart w:id="12" w:name="n24"/>
            <w:bookmarkEnd w:id="12"/>
            <w:r>
              <w:rPr>
                <w:rStyle w:val="spanrvts0"/>
                <w:rFonts w:eastAsiaTheme="minorHAnsi"/>
                <w:lang w:val="uk" w:eastAsia="uk"/>
              </w:rPr>
              <w:t xml:space="preserve">        </w:t>
            </w:r>
            <w:r w:rsidR="00242E06" w:rsidRPr="00C663FE">
              <w:rPr>
                <w:rStyle w:val="spanrvts0"/>
                <w:rFonts w:eastAsiaTheme="minorHAnsi"/>
                <w:lang w:val="uk" w:eastAsia="uk"/>
              </w:rPr>
              <w:t xml:space="preserve">Оператор ГРМ - оператор газорозподільної системи </w:t>
            </w:r>
            <w:r w:rsidR="00971DA7" w:rsidRPr="00C663FE">
              <w:rPr>
                <w:rStyle w:val="spanrvts0"/>
                <w:rFonts w:eastAsiaTheme="minorHAnsi"/>
                <w:lang w:val="uk" w:eastAsia="uk"/>
              </w:rPr>
              <w:t xml:space="preserve">ТОВ «ГАЗОРОЗПОДІЛЬНІ МЕРЕЖІ УКРАЇНИ» </w:t>
            </w:r>
            <w:r w:rsidR="00242E06" w:rsidRPr="00C663FE">
              <w:rPr>
                <w:rStyle w:val="spanrvts0"/>
                <w:rFonts w:eastAsiaTheme="minorHAnsi"/>
                <w:lang w:val="uk" w:eastAsia="uk"/>
              </w:rPr>
              <w:t>в особі</w:t>
            </w:r>
            <w:r w:rsidR="000F1654" w:rsidRPr="00C663FE">
              <w:rPr>
                <w:rStyle w:val="spanrvts0"/>
                <w:rFonts w:eastAsiaTheme="minorHAnsi"/>
                <w:lang w:val="uk" w:eastAsia="uk"/>
              </w:rPr>
              <w:t xml:space="preserve"> </w:t>
            </w:r>
            <w:r w:rsidR="00452D6B" w:rsidRPr="00C663FE">
              <w:rPr>
                <w:rStyle w:val="spanrvts0"/>
                <w:rFonts w:eastAsiaTheme="minorHAnsi"/>
                <w:lang w:val="uk" w:eastAsia="uk"/>
              </w:rPr>
              <w:t>ВІННИЦ</w:t>
            </w:r>
            <w:r w:rsidR="00024006" w:rsidRPr="00C663FE">
              <w:rPr>
                <w:rStyle w:val="spanrvts0"/>
                <w:rFonts w:eastAsiaTheme="minorHAnsi"/>
                <w:lang w:val="uk" w:eastAsia="uk"/>
              </w:rPr>
              <w:t>ЬКОЇ</w:t>
            </w:r>
            <w:r w:rsidR="000F1654" w:rsidRPr="00C663FE">
              <w:rPr>
                <w:rStyle w:val="spanrvts0"/>
                <w:rFonts w:eastAsiaTheme="minorHAnsi"/>
                <w:lang w:val="uk" w:eastAsia="uk"/>
              </w:rPr>
              <w:t xml:space="preserve"> ФІЛІЇ</w:t>
            </w:r>
            <w:bookmarkStart w:id="13" w:name="n25"/>
            <w:bookmarkEnd w:id="13"/>
            <w:r w:rsidR="00242E06" w:rsidRPr="00C663FE">
              <w:rPr>
                <w:rStyle w:val="spanrvts0"/>
                <w:rFonts w:eastAsiaTheme="minorHAnsi"/>
                <w:lang w:val="uk" w:eastAsia="uk"/>
              </w:rPr>
              <w:t>,</w:t>
            </w:r>
            <w:r w:rsidR="000F1654" w:rsidRPr="00C663FE">
              <w:rPr>
                <w:rStyle w:val="spanrvts0"/>
                <w:rFonts w:eastAsiaTheme="minorHAnsi"/>
                <w:lang w:val="uk" w:eastAsia="uk"/>
              </w:rPr>
              <w:t xml:space="preserve"> </w:t>
            </w:r>
            <w:r w:rsidR="00344899" w:rsidRPr="00C663FE">
              <w:rPr>
                <w:rStyle w:val="spanrvts0"/>
                <w:rFonts w:eastAsiaTheme="minorHAnsi"/>
                <w:lang w:val="uk"/>
              </w:rPr>
              <w:t xml:space="preserve">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sidR="00344899" w:rsidRPr="00C663FE">
              <w:rPr>
                <w:rStyle w:val="spanrvts0"/>
                <w:rFonts w:eastAsiaTheme="minorHAnsi"/>
                <w:color w:val="000000"/>
                <w:lang w:val="uk"/>
              </w:rPr>
              <w:t>від 26 грудня 2022 року</w:t>
            </w:r>
            <w:r w:rsidR="00344899" w:rsidRPr="00C663FE">
              <w:rPr>
                <w:rStyle w:val="spanrvts0"/>
                <w:rFonts w:eastAsiaTheme="minorHAnsi"/>
                <w:color w:val="000000"/>
              </w:rPr>
              <w:t> </w:t>
            </w:r>
            <w:r w:rsidR="00344899" w:rsidRPr="00C663FE">
              <w:rPr>
                <w:rStyle w:val="spanrvts0"/>
                <w:rFonts w:eastAsiaTheme="minorHAnsi"/>
                <w:color w:val="000000"/>
                <w:lang w:val="uk"/>
              </w:rPr>
              <w:t xml:space="preserve"> №1839</w:t>
            </w:r>
            <w:r w:rsidR="00344899" w:rsidRPr="00C663FE">
              <w:rPr>
                <w:rStyle w:val="spanrvts0"/>
                <w:rFonts w:eastAsiaTheme="minorHAnsi"/>
                <w:lang w:val="uk"/>
              </w:rPr>
              <w:t xml:space="preserve"> із змінами </w:t>
            </w:r>
            <w:r w:rsidR="00FB4427">
              <w:rPr>
                <w:rStyle w:val="spanrvts0"/>
                <w:rFonts w:eastAsiaTheme="minorHAnsi"/>
                <w:lang w:val="uk"/>
              </w:rPr>
              <w:t xml:space="preserve">згідно </w:t>
            </w:r>
            <w:r w:rsidR="00344899" w:rsidRPr="00C663FE">
              <w:rPr>
                <w:rStyle w:val="spanrvts0"/>
                <w:rFonts w:eastAsiaTheme="minorHAnsi"/>
                <w:lang w:val="uk"/>
              </w:rPr>
              <w:t xml:space="preserve">Постанови від </w:t>
            </w:r>
            <w:r w:rsidR="00104E7F" w:rsidRPr="00C663FE">
              <w:rPr>
                <w:rStyle w:val="spanrvts0"/>
                <w:rFonts w:eastAsiaTheme="minorHAnsi"/>
                <w:lang w:val="uk"/>
              </w:rPr>
              <w:t xml:space="preserve">29 вересня </w:t>
            </w:r>
            <w:r w:rsidR="00344899" w:rsidRPr="00C663FE">
              <w:rPr>
                <w:rStyle w:val="spanrvts0"/>
                <w:rFonts w:eastAsiaTheme="minorHAnsi"/>
                <w:lang w:val="uk"/>
              </w:rPr>
              <w:lastRenderedPageBreak/>
              <w:t>2023 року №</w:t>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344899" w:rsidRPr="00C663FE">
              <w:rPr>
                <w:rStyle w:val="spanrvts0"/>
                <w:rFonts w:eastAsiaTheme="minorHAnsi"/>
                <w:lang w:val="uk"/>
              </w:rPr>
              <w:softHyphen/>
            </w:r>
            <w:r w:rsidR="00104E7F" w:rsidRPr="00C663FE">
              <w:rPr>
                <w:rStyle w:val="spanrvts0"/>
                <w:rFonts w:eastAsiaTheme="minorHAnsi"/>
                <w:lang w:val="uk"/>
              </w:rPr>
              <w:t>1769</w:t>
            </w:r>
            <w:r w:rsidR="00344899" w:rsidRPr="00C663FE">
              <w:rPr>
                <w:rStyle w:val="spanrvts0"/>
                <w:rFonts w:eastAsiaTheme="minorHAnsi"/>
                <w:lang w:val="uk"/>
              </w:rPr>
              <w:t xml:space="preserve"> </w:t>
            </w:r>
            <w:r w:rsidR="00FB4427">
              <w:rPr>
                <w:rStyle w:val="spanrvts0"/>
                <w:rFonts w:eastAsiaTheme="minorHAnsi"/>
                <w:lang w:val="uk"/>
              </w:rPr>
              <w:t>«</w:t>
            </w:r>
            <w:hyperlink r:id="rId15" w:tgtFrame="_blank" w:history="1">
              <w:r w:rsidR="00FB4427" w:rsidRPr="00FB4427">
                <w:rPr>
                  <w:rStyle w:val="a7"/>
                  <w:color w:val="auto"/>
                  <w:u w:val="none"/>
                  <w:bdr w:val="none" w:sz="0" w:space="0" w:color="auto" w:frame="1"/>
                  <w:shd w:val="clear" w:color="auto" w:fill="FFFFFF"/>
                </w:rPr>
                <w:t>Про внесення змін до додатка до постанови НКРЕКП від 26 грудня 2022 року № 1839</w:t>
              </w:r>
            </w:hyperlink>
            <w:r w:rsidR="00FB4427">
              <w:t xml:space="preserve"> </w:t>
            </w:r>
            <w:r w:rsidR="00344899" w:rsidRPr="00C663FE">
              <w:rPr>
                <w:rStyle w:val="spanrvts0"/>
                <w:rFonts w:eastAsiaTheme="minorHAnsi"/>
                <w:lang w:val="uk" w:eastAsia="uk"/>
              </w:rPr>
              <w:t xml:space="preserve">та врегулювання питань щодо провадження ТОВ «ГАЗОРОЗПОДІЛЬНІ МЕРЕЖІ УКРАЇНИ» діяльності з розподілу природного газу» в межах </w:t>
            </w:r>
            <w:r w:rsidR="00104E7F" w:rsidRPr="00C663FE">
              <w:rPr>
                <w:rStyle w:val="spanrvts0"/>
                <w:rFonts w:eastAsiaTheme="minorHAnsi"/>
                <w:lang w:val="uk" w:eastAsia="uk"/>
              </w:rPr>
              <w:t>території:</w:t>
            </w:r>
          </w:p>
          <w:p w14:paraId="2EB685FE" w14:textId="42CF4B08" w:rsidR="00104E7F" w:rsidRPr="00C663FE" w:rsidRDefault="00104E7F" w:rsidP="00104E7F">
            <w:pPr>
              <w:pStyle w:val="a4"/>
              <w:spacing w:after="225"/>
              <w:jc w:val="both"/>
              <w:textAlignment w:val="baseline"/>
              <w:rPr>
                <w:rStyle w:val="spanrvts0"/>
                <w:rFonts w:eastAsiaTheme="minorHAnsi"/>
                <w:lang w:val="uk"/>
              </w:rPr>
            </w:pPr>
            <w:r w:rsidRPr="00C663FE">
              <w:rPr>
                <w:rStyle w:val="spanrvts0"/>
                <w:rFonts w:eastAsiaTheme="minorHAnsi"/>
                <w:lang w:val="uk"/>
              </w:rPr>
              <w:t xml:space="preserve">Вінницька область (крім сіл </w:t>
            </w:r>
            <w:proofErr w:type="spellStart"/>
            <w:r w:rsidRPr="00C663FE">
              <w:rPr>
                <w:rStyle w:val="spanrvts0"/>
                <w:rFonts w:eastAsiaTheme="minorHAnsi"/>
                <w:lang w:val="uk"/>
              </w:rPr>
              <w:t>Якушинці</w:t>
            </w:r>
            <w:proofErr w:type="spellEnd"/>
            <w:r w:rsidRPr="00C663FE">
              <w:rPr>
                <w:rStyle w:val="spanrvts0"/>
                <w:rFonts w:eastAsiaTheme="minorHAnsi"/>
                <w:lang w:val="uk"/>
              </w:rPr>
              <w:t xml:space="preserve">, </w:t>
            </w:r>
            <w:proofErr w:type="spellStart"/>
            <w:r w:rsidRPr="00C663FE">
              <w:rPr>
                <w:rStyle w:val="spanrvts0"/>
                <w:rFonts w:eastAsiaTheme="minorHAnsi"/>
                <w:lang w:val="uk"/>
              </w:rPr>
              <w:t>Зарванці</w:t>
            </w:r>
            <w:proofErr w:type="spellEnd"/>
            <w:r w:rsidRPr="00C663FE">
              <w:rPr>
                <w:rStyle w:val="spanrvts0"/>
                <w:rFonts w:eastAsiaTheme="minorHAnsi"/>
                <w:lang w:val="uk"/>
              </w:rPr>
              <w:t xml:space="preserve"> Вінницького району, селища міського типу </w:t>
            </w:r>
            <w:proofErr w:type="spellStart"/>
            <w:r w:rsidRPr="00C663FE">
              <w:rPr>
                <w:rStyle w:val="spanrvts0"/>
                <w:rFonts w:eastAsiaTheme="minorHAnsi"/>
                <w:lang w:val="uk"/>
              </w:rPr>
              <w:t>Кирнасівка</w:t>
            </w:r>
            <w:proofErr w:type="spellEnd"/>
            <w:r w:rsidRPr="00C663FE">
              <w:rPr>
                <w:rStyle w:val="spanrvts0"/>
                <w:rFonts w:eastAsiaTheme="minorHAnsi"/>
                <w:lang w:val="uk"/>
              </w:rPr>
              <w:t xml:space="preserve">, сіл </w:t>
            </w:r>
            <w:proofErr w:type="spellStart"/>
            <w:r w:rsidRPr="00C663FE">
              <w:rPr>
                <w:rStyle w:val="spanrvts0"/>
                <w:rFonts w:eastAsiaTheme="minorHAnsi"/>
                <w:lang w:val="uk"/>
              </w:rPr>
              <w:t>Одая</w:t>
            </w:r>
            <w:proofErr w:type="spellEnd"/>
            <w:r w:rsidRPr="00C663FE">
              <w:rPr>
                <w:rStyle w:val="spanrvts0"/>
                <w:rFonts w:eastAsiaTheme="minorHAnsi"/>
                <w:lang w:val="uk"/>
              </w:rPr>
              <w:t xml:space="preserve">, </w:t>
            </w:r>
            <w:proofErr w:type="spellStart"/>
            <w:r w:rsidRPr="00C663FE">
              <w:rPr>
                <w:rStyle w:val="spanrvts0"/>
                <w:rFonts w:eastAsiaTheme="minorHAnsi"/>
                <w:lang w:val="uk"/>
              </w:rPr>
              <w:t>Нестерварка</w:t>
            </w:r>
            <w:proofErr w:type="spellEnd"/>
            <w:r w:rsidRPr="00C663FE">
              <w:rPr>
                <w:rStyle w:val="spanrvts0"/>
                <w:rFonts w:eastAsiaTheme="minorHAnsi"/>
                <w:lang w:val="uk"/>
              </w:rPr>
              <w:t xml:space="preserve">, </w:t>
            </w:r>
            <w:proofErr w:type="spellStart"/>
            <w:r w:rsidRPr="00C663FE">
              <w:rPr>
                <w:rStyle w:val="spanrvts0"/>
                <w:rFonts w:eastAsiaTheme="minorHAnsi"/>
                <w:lang w:val="uk"/>
              </w:rPr>
              <w:t>Федьківка</w:t>
            </w:r>
            <w:proofErr w:type="spellEnd"/>
            <w:r w:rsidRPr="00C663FE">
              <w:rPr>
                <w:rStyle w:val="spanrvts0"/>
                <w:rFonts w:eastAsiaTheme="minorHAnsi"/>
                <w:lang w:val="uk"/>
              </w:rPr>
              <w:t xml:space="preserve">, Дранка, </w:t>
            </w:r>
            <w:proofErr w:type="spellStart"/>
            <w:r w:rsidRPr="00C663FE">
              <w:rPr>
                <w:rStyle w:val="spanrvts0"/>
                <w:rFonts w:eastAsiaTheme="minorHAnsi"/>
                <w:lang w:val="uk"/>
              </w:rPr>
              <w:t>Тиманівка</w:t>
            </w:r>
            <w:proofErr w:type="spellEnd"/>
            <w:r w:rsidRPr="00C663FE">
              <w:rPr>
                <w:rStyle w:val="spanrvts0"/>
                <w:rFonts w:eastAsiaTheme="minorHAnsi"/>
                <w:lang w:val="uk"/>
              </w:rPr>
              <w:t xml:space="preserve">, </w:t>
            </w:r>
            <w:proofErr w:type="spellStart"/>
            <w:r w:rsidRPr="00C663FE">
              <w:rPr>
                <w:rStyle w:val="spanrvts0"/>
                <w:rFonts w:eastAsiaTheme="minorHAnsi"/>
                <w:lang w:val="uk"/>
              </w:rPr>
              <w:t>Клебань</w:t>
            </w:r>
            <w:proofErr w:type="spellEnd"/>
            <w:r w:rsidRPr="00C663FE">
              <w:rPr>
                <w:rStyle w:val="spanrvts0"/>
                <w:rFonts w:eastAsiaTheme="minorHAnsi"/>
                <w:lang w:val="uk"/>
              </w:rPr>
              <w:t xml:space="preserve">, </w:t>
            </w:r>
            <w:proofErr w:type="spellStart"/>
            <w:r w:rsidRPr="00C663FE">
              <w:rPr>
                <w:rStyle w:val="spanrvts0"/>
                <w:rFonts w:eastAsiaTheme="minorHAnsi"/>
                <w:lang w:val="uk"/>
              </w:rPr>
              <w:t>Копіївка</w:t>
            </w:r>
            <w:proofErr w:type="spellEnd"/>
            <w:r w:rsidRPr="00C663FE">
              <w:rPr>
                <w:rStyle w:val="spanrvts0"/>
                <w:rFonts w:eastAsiaTheme="minorHAnsi"/>
                <w:lang w:val="uk"/>
              </w:rPr>
              <w:t xml:space="preserve">, селища </w:t>
            </w:r>
            <w:proofErr w:type="spellStart"/>
            <w:r w:rsidRPr="00C663FE">
              <w:rPr>
                <w:rStyle w:val="spanrvts0"/>
                <w:rFonts w:eastAsiaTheme="minorHAnsi"/>
                <w:lang w:val="uk"/>
              </w:rPr>
              <w:t>Марково</w:t>
            </w:r>
            <w:proofErr w:type="spellEnd"/>
            <w:r w:rsidRPr="00C663FE">
              <w:rPr>
                <w:rStyle w:val="spanrvts0"/>
                <w:rFonts w:eastAsiaTheme="minorHAnsi"/>
                <w:lang w:val="uk"/>
              </w:rPr>
              <w:t xml:space="preserve"> Тульчинського району, сіл Пилипи-Борівські, Калинка </w:t>
            </w:r>
            <w:proofErr w:type="spellStart"/>
            <w:r w:rsidRPr="00C663FE">
              <w:rPr>
                <w:rStyle w:val="spanrvts0"/>
                <w:rFonts w:eastAsiaTheme="minorHAnsi"/>
                <w:lang w:val="uk"/>
              </w:rPr>
              <w:t>Томашпільського</w:t>
            </w:r>
            <w:proofErr w:type="spellEnd"/>
            <w:r w:rsidRPr="00C663FE">
              <w:rPr>
                <w:rStyle w:val="spanrvts0"/>
                <w:rFonts w:eastAsiaTheme="minorHAnsi"/>
                <w:lang w:val="uk"/>
              </w:rPr>
              <w:t xml:space="preserve"> району, сіл Сокіл, </w:t>
            </w:r>
            <w:proofErr w:type="spellStart"/>
            <w:r w:rsidRPr="00C663FE">
              <w:rPr>
                <w:rStyle w:val="spanrvts0"/>
                <w:rFonts w:eastAsiaTheme="minorHAnsi"/>
                <w:lang w:val="uk"/>
              </w:rPr>
              <w:t>Моївка</w:t>
            </w:r>
            <w:proofErr w:type="spellEnd"/>
            <w:r w:rsidRPr="00C663FE">
              <w:rPr>
                <w:rStyle w:val="spanrvts0"/>
                <w:rFonts w:eastAsiaTheme="minorHAnsi"/>
                <w:lang w:val="uk"/>
              </w:rPr>
              <w:t xml:space="preserve">, </w:t>
            </w:r>
            <w:proofErr w:type="spellStart"/>
            <w:r w:rsidRPr="00C663FE">
              <w:rPr>
                <w:rStyle w:val="spanrvts0"/>
                <w:rFonts w:eastAsiaTheme="minorHAnsi"/>
                <w:lang w:val="uk"/>
              </w:rPr>
              <w:t>Борівка</w:t>
            </w:r>
            <w:proofErr w:type="spellEnd"/>
            <w:r w:rsidRPr="00C663FE">
              <w:rPr>
                <w:rStyle w:val="spanrvts0"/>
                <w:rFonts w:eastAsiaTheme="minorHAnsi"/>
                <w:lang w:val="uk"/>
              </w:rPr>
              <w:t xml:space="preserve">, села </w:t>
            </w:r>
            <w:proofErr w:type="spellStart"/>
            <w:r w:rsidRPr="00C663FE">
              <w:rPr>
                <w:rStyle w:val="spanrvts0"/>
                <w:rFonts w:eastAsiaTheme="minorHAnsi"/>
                <w:lang w:val="uk"/>
              </w:rPr>
              <w:t>Грабовець</w:t>
            </w:r>
            <w:proofErr w:type="spellEnd"/>
            <w:r w:rsidRPr="00C663FE">
              <w:rPr>
                <w:rStyle w:val="spanrvts0"/>
                <w:rFonts w:eastAsiaTheme="minorHAnsi"/>
                <w:lang w:val="uk"/>
              </w:rPr>
              <w:t xml:space="preserve"> Могилів-Подільського району, села </w:t>
            </w:r>
            <w:proofErr w:type="spellStart"/>
            <w:r w:rsidRPr="00C663FE">
              <w:rPr>
                <w:rStyle w:val="spanrvts0"/>
                <w:rFonts w:eastAsiaTheme="minorHAnsi"/>
                <w:lang w:val="uk"/>
              </w:rPr>
              <w:t>Махаринці</w:t>
            </w:r>
            <w:proofErr w:type="spellEnd"/>
            <w:r w:rsidRPr="00C663FE">
              <w:rPr>
                <w:rStyle w:val="spanrvts0"/>
                <w:rFonts w:eastAsiaTheme="minorHAnsi"/>
                <w:lang w:val="uk"/>
              </w:rPr>
              <w:t xml:space="preserve"> Хмільницького району, сіл Бухни, </w:t>
            </w:r>
            <w:proofErr w:type="spellStart"/>
            <w:r w:rsidRPr="00C663FE">
              <w:rPr>
                <w:rStyle w:val="spanrvts0"/>
                <w:rFonts w:eastAsiaTheme="minorHAnsi"/>
                <w:lang w:val="uk"/>
              </w:rPr>
              <w:t>Морозівка</w:t>
            </w:r>
            <w:proofErr w:type="spellEnd"/>
            <w:r w:rsidRPr="00C663FE">
              <w:rPr>
                <w:rStyle w:val="spanrvts0"/>
                <w:rFonts w:eastAsiaTheme="minorHAnsi"/>
                <w:lang w:val="uk"/>
              </w:rPr>
              <w:t xml:space="preserve"> Вінницького району, (конфіденційна інформація) міста Вінниці та сіл Переорки, Агрономічне   (конфіденційна інформація) Вінницького району); </w:t>
            </w:r>
          </w:p>
          <w:p w14:paraId="4630583A" w14:textId="2B3F392A" w:rsidR="00104E7F" w:rsidRPr="00C663FE" w:rsidRDefault="00104E7F" w:rsidP="00104E7F">
            <w:pPr>
              <w:pStyle w:val="a4"/>
              <w:spacing w:after="225"/>
              <w:jc w:val="both"/>
              <w:textAlignment w:val="baseline"/>
              <w:rPr>
                <w:rStyle w:val="spanrvts0"/>
                <w:rFonts w:eastAsiaTheme="minorHAnsi"/>
                <w:lang w:val="uk"/>
              </w:rPr>
            </w:pPr>
            <w:r w:rsidRPr="00C663FE">
              <w:rPr>
                <w:rStyle w:val="spanrvts0"/>
                <w:rFonts w:eastAsiaTheme="minorHAnsi"/>
                <w:lang w:val="uk"/>
              </w:rPr>
              <w:t>Кіровоградська область: місто Гайворон.</w:t>
            </w:r>
          </w:p>
        </w:tc>
      </w:tr>
    </w:tbl>
    <w:p w14:paraId="77C612B6" w14:textId="77777777" w:rsidR="00D23ED5" w:rsidRPr="00C663FE" w:rsidRDefault="00242E06" w:rsidP="00F21FDF">
      <w:pPr>
        <w:pStyle w:val="rvps2"/>
        <w:spacing w:after="150"/>
        <w:rPr>
          <w:rStyle w:val="spanrvts0"/>
          <w:lang w:val="uk" w:eastAsia="uk"/>
        </w:rPr>
      </w:pPr>
      <w:bookmarkStart w:id="14" w:name="n26"/>
      <w:bookmarkStart w:id="15" w:name="n27"/>
      <w:bookmarkEnd w:id="14"/>
      <w:bookmarkEnd w:id="15"/>
      <w:r w:rsidRPr="00C663FE">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Pr="00C663FE" w:rsidRDefault="00242E06">
      <w:pPr>
        <w:pStyle w:val="rvps2"/>
        <w:spacing w:after="150"/>
        <w:rPr>
          <w:rStyle w:val="spanrvts0"/>
          <w:lang w:val="uk" w:eastAsia="uk"/>
        </w:rPr>
      </w:pPr>
      <w:bookmarkStart w:id="16" w:name="n28"/>
      <w:bookmarkEnd w:id="16"/>
      <w:r w:rsidRPr="00C663FE">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sidRPr="00C663FE">
        <w:rPr>
          <w:rStyle w:val="spanrvts0"/>
          <w:lang w:val="uk" w:eastAsia="uk"/>
        </w:rPr>
        <w:t>ів</w:t>
      </w:r>
      <w:proofErr w:type="spellEnd"/>
      <w:r w:rsidRPr="00C663FE">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C663FE" w:rsidRDefault="00242E06">
      <w:pPr>
        <w:pStyle w:val="rvps2"/>
        <w:spacing w:after="150"/>
        <w:rPr>
          <w:rStyle w:val="spanrvts0"/>
          <w:lang w:val="uk" w:eastAsia="uk"/>
        </w:rPr>
      </w:pPr>
      <w:bookmarkStart w:id="17" w:name="n215"/>
      <w:bookmarkStart w:id="18" w:name="n29"/>
      <w:bookmarkEnd w:id="17"/>
      <w:bookmarkEnd w:id="18"/>
      <w:r w:rsidRPr="00C663FE">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6" w:anchor="n18" w:tgtFrame="_blank" w:history="1">
        <w:r w:rsidRPr="00C663FE">
          <w:rPr>
            <w:rStyle w:val="arvts96"/>
            <w:color w:val="auto"/>
            <w:lang w:val="uk" w:eastAsia="uk"/>
          </w:rPr>
          <w:t>Кодексом газотранспортної системи</w:t>
        </w:r>
      </w:hyperlink>
      <w:r w:rsidRPr="00C663FE">
        <w:rPr>
          <w:rStyle w:val="spanrvts0"/>
          <w:lang w:val="uk" w:eastAsia="uk"/>
        </w:rPr>
        <w:t>, затвердженим постановою Регулятора від 30 вересня 2015 року № 2493;</w:t>
      </w:r>
    </w:p>
    <w:p w14:paraId="31C358AC" w14:textId="77777777" w:rsidR="00D23ED5" w:rsidRPr="00C663FE" w:rsidRDefault="00242E06">
      <w:pPr>
        <w:pStyle w:val="rvps2"/>
        <w:spacing w:after="150"/>
        <w:rPr>
          <w:rStyle w:val="spanrvts0"/>
          <w:lang w:val="uk" w:eastAsia="uk"/>
        </w:rPr>
      </w:pPr>
      <w:bookmarkStart w:id="19" w:name="n30"/>
      <w:bookmarkEnd w:id="19"/>
      <w:r w:rsidRPr="00C663FE">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Pr="00C663FE" w:rsidRDefault="00242E06">
      <w:pPr>
        <w:pStyle w:val="rvps2"/>
        <w:spacing w:after="150"/>
        <w:rPr>
          <w:rStyle w:val="spanrvts0"/>
          <w:lang w:val="uk" w:eastAsia="uk"/>
        </w:rPr>
      </w:pPr>
      <w:bookmarkStart w:id="20" w:name="n216"/>
      <w:bookmarkStart w:id="21" w:name="n31"/>
      <w:bookmarkEnd w:id="20"/>
      <w:bookmarkEnd w:id="21"/>
      <w:r w:rsidRPr="00C663FE">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C663FE" w:rsidRDefault="00242E06">
      <w:pPr>
        <w:pStyle w:val="rvps2"/>
        <w:spacing w:after="150"/>
        <w:rPr>
          <w:rStyle w:val="spanrvts0"/>
          <w:lang w:val="uk" w:eastAsia="uk"/>
        </w:rPr>
      </w:pPr>
      <w:bookmarkStart w:id="22" w:name="n198"/>
      <w:bookmarkEnd w:id="22"/>
      <w:r w:rsidRPr="00C663FE">
        <w:rPr>
          <w:rStyle w:val="spanrvts0"/>
          <w:lang w:val="uk" w:eastAsia="uk"/>
        </w:rPr>
        <w:t xml:space="preserve">Реєстр споживачів постачальника - це перелік споживачів, які в установленому </w:t>
      </w:r>
      <w:hyperlink r:id="rId17" w:anchor="n18" w:tgtFrame="_blank" w:history="1">
        <w:r w:rsidRPr="00C663FE">
          <w:rPr>
            <w:rStyle w:val="arvts96"/>
            <w:color w:val="auto"/>
            <w:lang w:val="uk" w:eastAsia="uk"/>
          </w:rPr>
          <w:t>Кодексом газотранспортної системи</w:t>
        </w:r>
      </w:hyperlink>
      <w:r w:rsidRPr="00C663FE">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4E1847C8" w:rsidR="00D23ED5" w:rsidRPr="00C663FE" w:rsidRDefault="00242E06" w:rsidP="009538A8">
      <w:pPr>
        <w:rPr>
          <w:rStyle w:val="spanrvts0"/>
          <w:lang w:val="uk-UA"/>
        </w:rPr>
      </w:pPr>
      <w:bookmarkStart w:id="23" w:name="n199"/>
      <w:bookmarkStart w:id="24" w:name="n32"/>
      <w:bookmarkEnd w:id="23"/>
      <w:bookmarkEnd w:id="24"/>
      <w:r w:rsidRPr="00C663FE">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C663FE">
        <w:rPr>
          <w:rStyle w:val="spanrvts0"/>
          <w:lang w:val="uk" w:eastAsia="uk"/>
        </w:rPr>
        <w:t>адресою</w:t>
      </w:r>
      <w:proofErr w:type="spellEnd"/>
      <w:r w:rsidRPr="00C663FE">
        <w:rPr>
          <w:rStyle w:val="spanrvts0"/>
          <w:lang w:val="uk" w:eastAsia="uk"/>
        </w:rPr>
        <w:t xml:space="preserve">: </w:t>
      </w:r>
      <w:hyperlink r:id="rId18" w:history="1">
        <w:r w:rsidR="009538A8" w:rsidRPr="00C663FE">
          <w:rPr>
            <w:rStyle w:val="a7"/>
          </w:rPr>
          <w:t>https</w:t>
        </w:r>
        <w:r w:rsidR="009538A8" w:rsidRPr="00C663FE">
          <w:rPr>
            <w:rStyle w:val="a7"/>
            <w:lang w:val="uk"/>
          </w:rPr>
          <w:t>://</w:t>
        </w:r>
        <w:proofErr w:type="spellStart"/>
        <w:r w:rsidR="009538A8" w:rsidRPr="00C663FE">
          <w:rPr>
            <w:rStyle w:val="a7"/>
          </w:rPr>
          <w:t>vn</w:t>
        </w:r>
        <w:proofErr w:type="spellEnd"/>
        <w:r w:rsidR="009538A8" w:rsidRPr="00C663FE">
          <w:rPr>
            <w:rStyle w:val="a7"/>
            <w:lang w:val="uk"/>
          </w:rPr>
          <w:t>.</w:t>
        </w:r>
        <w:proofErr w:type="spellStart"/>
        <w:r w:rsidR="009538A8" w:rsidRPr="00C663FE">
          <w:rPr>
            <w:rStyle w:val="a7"/>
          </w:rPr>
          <w:t>grmu</w:t>
        </w:r>
        <w:proofErr w:type="spellEnd"/>
        <w:r w:rsidR="009538A8" w:rsidRPr="00C663FE">
          <w:rPr>
            <w:rStyle w:val="a7"/>
            <w:lang w:val="uk"/>
          </w:rPr>
          <w:t>.</w:t>
        </w:r>
        <w:r w:rsidR="009538A8" w:rsidRPr="00C663FE">
          <w:rPr>
            <w:rStyle w:val="a7"/>
          </w:rPr>
          <w:t>com</w:t>
        </w:r>
        <w:r w:rsidR="009538A8" w:rsidRPr="00C663FE">
          <w:rPr>
            <w:rStyle w:val="a7"/>
            <w:lang w:val="uk"/>
          </w:rPr>
          <w:t>.</w:t>
        </w:r>
        <w:proofErr w:type="spellStart"/>
        <w:r w:rsidR="009538A8" w:rsidRPr="00C663FE">
          <w:rPr>
            <w:rStyle w:val="a7"/>
          </w:rPr>
          <w:t>ua</w:t>
        </w:r>
        <w:proofErr w:type="spellEnd"/>
        <w:r w:rsidR="009538A8" w:rsidRPr="00C663FE">
          <w:rPr>
            <w:rStyle w:val="a7"/>
            <w:lang w:val="uk"/>
          </w:rPr>
          <w:t>/</w:t>
        </w:r>
      </w:hyperlink>
      <w:r w:rsidRPr="00C663FE">
        <w:rPr>
          <w:rStyle w:val="spanrvts0"/>
          <w:lang w:val="uk" w:eastAsia="uk"/>
        </w:rPr>
        <w:t xml:space="preserve">, який містить чинну редакцію цього Договору та </w:t>
      </w:r>
      <w:hyperlink r:id="rId19" w:anchor="n41" w:tgtFrame="_blank" w:history="1">
        <w:r w:rsidRPr="00C663FE">
          <w:rPr>
            <w:rStyle w:val="arvts96"/>
            <w:color w:val="auto"/>
            <w:lang w:val="uk" w:eastAsia="uk"/>
          </w:rPr>
          <w:t>Кодексу газорозподільних систем</w:t>
        </w:r>
      </w:hyperlink>
      <w:r w:rsidRPr="00C663FE">
        <w:rPr>
          <w:rStyle w:val="spanrvts0"/>
          <w:lang w:val="uk" w:eastAsia="uk"/>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2568C8D2" w14:textId="77777777" w:rsidR="00D23ED5" w:rsidRPr="00C663FE" w:rsidRDefault="00242E06">
      <w:pPr>
        <w:pStyle w:val="rvps2"/>
        <w:spacing w:after="150"/>
        <w:rPr>
          <w:rStyle w:val="spanrvts0"/>
          <w:lang w:val="uk" w:eastAsia="uk"/>
        </w:rPr>
      </w:pPr>
      <w:bookmarkStart w:id="25" w:name="n33"/>
      <w:bookmarkEnd w:id="25"/>
      <w:r w:rsidRPr="00C663FE">
        <w:rPr>
          <w:rStyle w:val="spanrvts0"/>
          <w:lang w:val="uk" w:eastAsia="uk"/>
        </w:rPr>
        <w:t>Споживач - фізична або юридична особа чи фізична особа - підприємець, об’єкт якої підключений до газорозподільної системи Оператора ГРМ.</w:t>
      </w:r>
    </w:p>
    <w:p w14:paraId="3FECEA2B" w14:textId="77777777" w:rsidR="00D23ED5" w:rsidRPr="00C663FE" w:rsidRDefault="00242E06">
      <w:pPr>
        <w:pStyle w:val="rvps2"/>
        <w:spacing w:after="150"/>
        <w:rPr>
          <w:rStyle w:val="spanrvts0"/>
          <w:lang w:val="uk" w:eastAsia="uk"/>
        </w:rPr>
      </w:pPr>
      <w:bookmarkStart w:id="26" w:name="n34"/>
      <w:bookmarkEnd w:id="26"/>
      <w:r w:rsidRPr="00C663FE">
        <w:rPr>
          <w:rStyle w:val="spanrvts0"/>
          <w:lang w:val="uk" w:eastAsia="uk"/>
        </w:rPr>
        <w:lastRenderedPageBreak/>
        <w:t xml:space="preserve">Інші терміни вживаються у значеннях, наведених у </w:t>
      </w:r>
      <w:hyperlink r:id="rId20" w:tgtFrame="_blank" w:history="1">
        <w:r w:rsidRPr="00C663FE">
          <w:rPr>
            <w:rStyle w:val="arvts96"/>
            <w:color w:val="auto"/>
            <w:lang w:val="uk" w:eastAsia="uk"/>
          </w:rPr>
          <w:t>Законі України</w:t>
        </w:r>
      </w:hyperlink>
      <w:r w:rsidRPr="00C663FE">
        <w:rPr>
          <w:rStyle w:val="spanrvts0"/>
          <w:lang w:val="uk" w:eastAsia="uk"/>
        </w:rPr>
        <w:t xml:space="preserve"> «Про ринок природного газу» та </w:t>
      </w:r>
      <w:hyperlink r:id="rId21" w:anchor="n41" w:tgtFrame="_blank" w:history="1">
        <w:r w:rsidRPr="00C663FE">
          <w:rPr>
            <w:rStyle w:val="arvts96"/>
            <w:color w:val="auto"/>
            <w:lang w:val="uk" w:eastAsia="uk"/>
          </w:rPr>
          <w:t>Кодексі газорозподільних систем</w:t>
        </w:r>
      </w:hyperlink>
      <w:r w:rsidRPr="00C663FE">
        <w:rPr>
          <w:rStyle w:val="spanrvts0"/>
          <w:lang w:val="uk" w:eastAsia="uk"/>
        </w:rPr>
        <w:t>.</w:t>
      </w:r>
    </w:p>
    <w:p w14:paraId="7EE05134" w14:textId="77777777" w:rsidR="00D23ED5" w:rsidRPr="00C663FE" w:rsidRDefault="00242E06">
      <w:pPr>
        <w:pStyle w:val="rvps2"/>
        <w:spacing w:after="150"/>
        <w:rPr>
          <w:rStyle w:val="spanrvts0"/>
          <w:lang w:val="uk" w:eastAsia="uk"/>
        </w:rPr>
      </w:pPr>
      <w:bookmarkStart w:id="27" w:name="n35"/>
      <w:bookmarkEnd w:id="27"/>
      <w:r w:rsidRPr="00C663FE">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Pr="00C663FE" w:rsidRDefault="00242E06">
      <w:pPr>
        <w:pStyle w:val="rvps7"/>
        <w:spacing w:before="150" w:after="150"/>
        <w:ind w:left="450" w:right="450"/>
        <w:rPr>
          <w:rStyle w:val="spanrvts0"/>
          <w:lang w:val="uk" w:eastAsia="uk"/>
        </w:rPr>
      </w:pPr>
      <w:bookmarkStart w:id="28" w:name="n36"/>
      <w:bookmarkEnd w:id="28"/>
      <w:r w:rsidRPr="00C663FE">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sidRPr="00C663FE">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w:t>
      </w:r>
      <w:r>
        <w:rPr>
          <w:rStyle w:val="spanrvts0"/>
          <w:lang w:val="uk" w:eastAsia="uk"/>
        </w:rPr>
        <w:t xml:space="preserve">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22"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3"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5"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lastRenderedPageBreak/>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7"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8"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31"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32"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lastRenderedPageBreak/>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4"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5"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6"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w:t>
      </w:r>
      <w:r>
        <w:rPr>
          <w:rStyle w:val="spanrvts0"/>
          <w:lang w:val="uk" w:eastAsia="uk"/>
        </w:rPr>
        <w:lastRenderedPageBreak/>
        <w:t xml:space="preserve">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7"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xml:space="preserve">, </w:t>
      </w:r>
      <w:proofErr w:type="spellStart"/>
      <w:r>
        <w:rPr>
          <w:rStyle w:val="spanrvts0"/>
          <w:lang w:val="uk" w:eastAsia="uk"/>
        </w:rPr>
        <w:t>МДж</w:t>
      </w:r>
      <w:proofErr w:type="spellEnd"/>
      <w:r>
        <w:rPr>
          <w:rStyle w:val="spanrvts0"/>
          <w:lang w:val="uk" w:eastAsia="uk"/>
        </w:rPr>
        <w:t>)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w:t>
      </w:r>
      <w:r>
        <w:rPr>
          <w:rStyle w:val="spanrvts0"/>
          <w:lang w:val="uk" w:eastAsia="uk"/>
        </w:rPr>
        <w:lastRenderedPageBreak/>
        <w:t xml:space="preserve">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40"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41"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3"/>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4C159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4C159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4C159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4C159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5"/>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 xml:space="preserve">при розрахунку оплати вартості перевищення річної замовленої потужності у першому місяці, в якому було допущено таке </w:t>
            </w:r>
            <w:r>
              <w:rPr>
                <w:rStyle w:val="spanrvts0"/>
                <w:lang w:val="uk" w:eastAsia="uk"/>
              </w:rPr>
              <w:lastRenderedPageBreak/>
              <w:t>перевищення;</w:t>
            </w:r>
          </w:p>
        </w:tc>
      </w:tr>
      <w:tr w:rsidR="00D23ED5" w:rsidRPr="004C159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7"/>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4C159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9"/>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D23ED5" w:rsidRPr="004C159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51"/>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3"/>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4"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w:t>
      </w:r>
      <w:r>
        <w:rPr>
          <w:rStyle w:val="spanrvts0"/>
          <w:lang w:val="uk" w:eastAsia="uk"/>
        </w:rPr>
        <w:lastRenderedPageBreak/>
        <w:t xml:space="preserve">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lastRenderedPageBreak/>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7"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60"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lastRenderedPageBreak/>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4"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5"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6"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7"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lastRenderedPageBreak/>
        <w:t xml:space="preserve">8) на вимогу Оператора ГРМ у десятиденний строк сплатити Операторові ГРМ компенсацію за порушення, які передбачені </w:t>
      </w:r>
      <w:hyperlink r:id="rId70"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7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7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lastRenderedPageBreak/>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3"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4"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lastRenderedPageBreak/>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lastRenderedPageBreak/>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518"/>
      </w:tblGrid>
      <w:tr w:rsidR="00D23ED5" w14:paraId="45734958" w14:textId="77777777" w:rsidTr="007E6D6F">
        <w:trPr>
          <w:trHeight w:val="370"/>
        </w:trPr>
        <w:tc>
          <w:tcPr>
            <w:tcW w:w="6518"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C663FE" w14:paraId="715F57B7" w14:textId="77777777" w:rsidTr="007E6D6F">
        <w:trPr>
          <w:trHeight w:val="4034"/>
        </w:trPr>
        <w:tc>
          <w:tcPr>
            <w:tcW w:w="6518" w:type="dxa"/>
            <w:tcMar>
              <w:top w:w="20" w:type="dxa"/>
              <w:left w:w="22" w:type="dxa"/>
              <w:bottom w:w="20" w:type="dxa"/>
              <w:right w:w="22" w:type="dxa"/>
            </w:tcMar>
            <w:hideMark/>
          </w:tcPr>
          <w:p w14:paraId="3C5717B9" w14:textId="77777777" w:rsidR="006D58C0" w:rsidRPr="00C663FE" w:rsidRDefault="00E6528A" w:rsidP="0061454E">
            <w:pPr>
              <w:pStyle w:val="rvps14"/>
              <w:rPr>
                <w:rStyle w:val="spanrvts0"/>
                <w:b/>
                <w:bCs/>
                <w:lang w:val="uk" w:eastAsia="uk"/>
              </w:rPr>
            </w:pPr>
            <w:r w:rsidRPr="00C663FE">
              <w:rPr>
                <w:rStyle w:val="spanrvts0"/>
                <w:b/>
                <w:bCs/>
                <w:lang w:val="uk" w:eastAsia="uk"/>
              </w:rPr>
              <w:t xml:space="preserve">ТОВ «ГАЗОРОЗПОДІЛЬНІ МЕРЕЖІ УКРАЇНИ» </w:t>
            </w:r>
          </w:p>
          <w:p w14:paraId="7435F097" w14:textId="0751F496" w:rsidR="006D58C0" w:rsidRPr="00C663FE" w:rsidRDefault="006D58C0" w:rsidP="006D58C0">
            <w:pPr>
              <w:pStyle w:val="a3"/>
              <w:rPr>
                <w:rFonts w:ascii="Times New Roman" w:hAnsi="Times New Roman"/>
                <w:sz w:val="24"/>
                <w:szCs w:val="24"/>
                <w:lang w:val="uk-UA" w:eastAsia="ru-RU"/>
              </w:rPr>
            </w:pPr>
            <w:r w:rsidRPr="00C663FE">
              <w:rPr>
                <w:rFonts w:ascii="Times New Roman" w:hAnsi="Times New Roman"/>
                <w:sz w:val="24"/>
                <w:szCs w:val="24"/>
                <w:lang w:val="uk-UA" w:eastAsia="ru-RU"/>
              </w:rPr>
              <w:t>04116, м. Київ, вул.</w:t>
            </w:r>
            <w:r w:rsidR="00883DDD" w:rsidRPr="00C663FE">
              <w:rPr>
                <w:rFonts w:ascii="Times New Roman" w:hAnsi="Times New Roman"/>
                <w:sz w:val="24"/>
                <w:szCs w:val="24"/>
                <w:lang w:val="uk-UA" w:eastAsia="ru-RU"/>
              </w:rPr>
              <w:t xml:space="preserve"> </w:t>
            </w:r>
            <w:proofErr w:type="spellStart"/>
            <w:r w:rsidRPr="00C663FE">
              <w:rPr>
                <w:rFonts w:ascii="Times New Roman" w:hAnsi="Times New Roman"/>
                <w:sz w:val="24"/>
                <w:szCs w:val="24"/>
                <w:lang w:val="uk-UA" w:eastAsia="ru-RU"/>
              </w:rPr>
              <w:t>Шолуденка</w:t>
            </w:r>
            <w:proofErr w:type="spellEnd"/>
            <w:r w:rsidRPr="00C663FE">
              <w:rPr>
                <w:rFonts w:ascii="Times New Roman" w:hAnsi="Times New Roman"/>
                <w:sz w:val="24"/>
                <w:szCs w:val="24"/>
                <w:lang w:val="uk-UA" w:eastAsia="ru-RU"/>
              </w:rPr>
              <w:t>, 1</w:t>
            </w:r>
          </w:p>
          <w:p w14:paraId="0AEA40E5" w14:textId="29456756" w:rsidR="00B83261" w:rsidRPr="00C663FE" w:rsidRDefault="00111DBA" w:rsidP="00B83261">
            <w:pPr>
              <w:pStyle w:val="rvps14"/>
              <w:rPr>
                <w:rStyle w:val="spanrvts0"/>
                <w:b/>
                <w:bCs/>
                <w:lang w:val="uk" w:eastAsia="uk"/>
              </w:rPr>
            </w:pPr>
            <w:r w:rsidRPr="00C663FE">
              <w:rPr>
                <w:rStyle w:val="spanrvts0"/>
                <w:b/>
                <w:bCs/>
                <w:lang w:val="uk" w:eastAsia="uk"/>
              </w:rPr>
              <w:t>ВІННИЦ</w:t>
            </w:r>
            <w:r w:rsidR="00024006" w:rsidRPr="00C663FE">
              <w:rPr>
                <w:rStyle w:val="spanrvts0"/>
                <w:b/>
                <w:bCs/>
                <w:lang w:val="uk" w:eastAsia="uk"/>
              </w:rPr>
              <w:t>ЬКА</w:t>
            </w:r>
            <w:r w:rsidR="0061454E" w:rsidRPr="00C663FE">
              <w:rPr>
                <w:rStyle w:val="spanrvts0"/>
                <w:b/>
                <w:bCs/>
                <w:lang w:val="uk" w:eastAsia="uk"/>
              </w:rPr>
              <w:t xml:space="preserve"> ФІЛІЯ </w:t>
            </w:r>
            <w:r w:rsidR="006D58C0" w:rsidRPr="00C663FE">
              <w:rPr>
                <w:rStyle w:val="spanrvts0"/>
                <w:b/>
                <w:bCs/>
                <w:lang w:val="uk" w:eastAsia="uk"/>
              </w:rPr>
              <w:t xml:space="preserve">ТОВ «ГАЗОРОЗПОДІЛЬНІ МЕРЕЖІ УКРАЇНИ» </w:t>
            </w:r>
            <w:r w:rsidR="0016040D" w:rsidRPr="00C663FE">
              <w:rPr>
                <w:rStyle w:val="spanrvts0"/>
                <w:lang w:val="uk" w:eastAsia="uk"/>
              </w:rPr>
              <w:br/>
            </w:r>
            <w:r w:rsidRPr="00C663FE">
              <w:rPr>
                <w:rStyle w:val="spanrvts0"/>
                <w:rFonts w:eastAsia="Calibri"/>
                <w:lang w:val="uk" w:eastAsia="uk"/>
              </w:rPr>
              <w:t>21012</w:t>
            </w:r>
            <w:r w:rsidR="0016040D" w:rsidRPr="00C663FE">
              <w:rPr>
                <w:rStyle w:val="spanrvts0"/>
                <w:rFonts w:eastAsia="Calibri"/>
                <w:lang w:val="uk" w:eastAsia="uk"/>
              </w:rPr>
              <w:t xml:space="preserve">, </w:t>
            </w:r>
            <w:proofErr w:type="spellStart"/>
            <w:r w:rsidR="0016040D" w:rsidRPr="00C663FE">
              <w:rPr>
                <w:rStyle w:val="spanrvts0"/>
                <w:rFonts w:eastAsia="Calibri"/>
                <w:lang w:val="uk" w:eastAsia="uk"/>
              </w:rPr>
              <w:t>м.</w:t>
            </w:r>
            <w:r w:rsidRPr="00C663FE">
              <w:rPr>
                <w:rStyle w:val="spanrvts0"/>
                <w:rFonts w:eastAsia="Calibri"/>
                <w:lang w:val="uk" w:eastAsia="uk"/>
              </w:rPr>
              <w:t>Вінниця</w:t>
            </w:r>
            <w:proofErr w:type="spellEnd"/>
            <w:r w:rsidR="0016040D" w:rsidRPr="00C663FE">
              <w:rPr>
                <w:rStyle w:val="spanrvts0"/>
                <w:rFonts w:eastAsia="Calibri"/>
                <w:lang w:val="uk" w:eastAsia="uk"/>
              </w:rPr>
              <w:t>,</w:t>
            </w:r>
            <w:r w:rsidRPr="00C663FE">
              <w:rPr>
                <w:rStyle w:val="spanrvts0"/>
                <w:rFonts w:eastAsia="Calibri"/>
                <w:lang w:val="uk" w:eastAsia="uk"/>
              </w:rPr>
              <w:t xml:space="preserve"> </w:t>
            </w:r>
            <w:proofErr w:type="spellStart"/>
            <w:r w:rsidRPr="00C663FE">
              <w:rPr>
                <w:rStyle w:val="spanrvts0"/>
                <w:rFonts w:eastAsia="Calibri"/>
                <w:lang w:val="uk" w:eastAsia="uk"/>
              </w:rPr>
              <w:t>пров</w:t>
            </w:r>
            <w:proofErr w:type="spellEnd"/>
            <w:r w:rsidRPr="00C663FE">
              <w:rPr>
                <w:rStyle w:val="spanrvts0"/>
                <w:rFonts w:eastAsia="Calibri"/>
                <w:lang w:val="uk" w:eastAsia="uk"/>
              </w:rPr>
              <w:t xml:space="preserve">. Костя </w:t>
            </w:r>
            <w:proofErr w:type="spellStart"/>
            <w:r w:rsidRPr="00C663FE">
              <w:rPr>
                <w:rStyle w:val="spanrvts0"/>
                <w:rFonts w:eastAsia="Calibri"/>
                <w:lang w:val="uk" w:eastAsia="uk"/>
              </w:rPr>
              <w:t>Широцького</w:t>
            </w:r>
            <w:proofErr w:type="spellEnd"/>
            <w:r w:rsidR="007E6D6F" w:rsidRPr="00C663FE">
              <w:rPr>
                <w:rStyle w:val="spanrvts0"/>
                <w:lang w:val="uk" w:eastAsia="uk"/>
              </w:rPr>
              <w:t xml:space="preserve">, буд. </w:t>
            </w:r>
            <w:r w:rsidRPr="00C663FE">
              <w:rPr>
                <w:rStyle w:val="spanrvts0"/>
                <w:lang w:val="uk" w:eastAsia="uk"/>
              </w:rPr>
              <w:t>24</w:t>
            </w:r>
          </w:p>
          <w:p w14:paraId="5A51E037" w14:textId="6A923223" w:rsidR="00667EB7" w:rsidRPr="00C663FE" w:rsidRDefault="0061454E" w:rsidP="0061454E">
            <w:pPr>
              <w:pStyle w:val="rvps14"/>
              <w:rPr>
                <w:rFonts w:ascii="Calibri" w:hAnsi="Calibri" w:cs="Calibri"/>
                <w:lang w:val="ru-RU"/>
              </w:rPr>
            </w:pPr>
            <w:r w:rsidRPr="00C663FE">
              <w:rPr>
                <w:rStyle w:val="spanrvts0"/>
                <w:lang w:val="uk" w:eastAsia="uk"/>
              </w:rPr>
              <w:t xml:space="preserve">код </w:t>
            </w:r>
            <w:r w:rsidRPr="00C663FE">
              <w:rPr>
                <w:rStyle w:val="spanrvts0"/>
                <w:lang w:val="uk-UA" w:eastAsia="uk"/>
              </w:rPr>
              <w:t xml:space="preserve">ЄДРПОУ </w:t>
            </w:r>
            <w:r w:rsidR="009538A8" w:rsidRPr="00C663FE">
              <w:rPr>
                <w:rFonts w:ascii="Calibri" w:hAnsi="Calibri" w:cs="Calibri"/>
                <w:lang w:val="ru-RU"/>
              </w:rPr>
              <w:t>45165321</w:t>
            </w:r>
          </w:p>
          <w:p w14:paraId="14094E39" w14:textId="77777777" w:rsidR="00397CB2" w:rsidRPr="00C663FE" w:rsidRDefault="00397CB2" w:rsidP="0061454E">
            <w:pPr>
              <w:pStyle w:val="rvps14"/>
              <w:rPr>
                <w:rStyle w:val="spanrvts0"/>
                <w:rFonts w:eastAsia="Calibri"/>
                <w:lang w:val="uk" w:eastAsia="uk"/>
              </w:rPr>
            </w:pPr>
            <w:r w:rsidRPr="00C663FE">
              <w:rPr>
                <w:rStyle w:val="spanrvts0"/>
                <w:rFonts w:eastAsia="Calibri"/>
                <w:lang w:val="uk" w:eastAsia="uk"/>
              </w:rPr>
              <w:t xml:space="preserve">АТ «Ощадбанк» </w:t>
            </w:r>
          </w:p>
          <w:p w14:paraId="04822558" w14:textId="440A9FCC" w:rsidR="00397CB2" w:rsidRPr="00C663FE" w:rsidRDefault="00397CB2" w:rsidP="0061454E">
            <w:pPr>
              <w:pStyle w:val="rvps14"/>
              <w:rPr>
                <w:rStyle w:val="spanrvts0"/>
                <w:lang w:val="uk-UA" w:eastAsia="uk"/>
              </w:rPr>
            </w:pPr>
            <w:r w:rsidRPr="00C663FE">
              <w:rPr>
                <w:rStyle w:val="spanrvts0"/>
                <w:rFonts w:eastAsia="Calibri"/>
                <w:lang w:val="uk" w:eastAsia="uk"/>
              </w:rPr>
              <w:t>МФО 302076</w:t>
            </w:r>
          </w:p>
          <w:p w14:paraId="5F3D08D9" w14:textId="77777777" w:rsidR="00397CB2" w:rsidRPr="00C663FE" w:rsidRDefault="00CB4D11" w:rsidP="0061454E">
            <w:pPr>
              <w:pStyle w:val="rvps14"/>
              <w:rPr>
                <w:rFonts w:ascii="Calibri" w:eastAsia="Calibri" w:hAnsi="Calibri" w:cs="Calibri"/>
                <w:kern w:val="2"/>
                <w:lang w:val="uk-UA"/>
                <w14:ligatures w14:val="standardContextual"/>
              </w:rPr>
            </w:pPr>
            <w:r w:rsidRPr="00C663FE">
              <w:rPr>
                <w:rStyle w:val="spanrvts0"/>
                <w:lang w:val="uk" w:eastAsia="uk"/>
              </w:rPr>
              <w:t>п/р</w:t>
            </w:r>
            <w:r w:rsidR="00AE31F0" w:rsidRPr="00C663FE">
              <w:rPr>
                <w:rStyle w:val="spanrvts0"/>
                <w:lang w:val="uk" w:eastAsia="uk"/>
              </w:rPr>
              <w:t xml:space="preserve"> </w:t>
            </w:r>
            <w:r w:rsidR="009538A8" w:rsidRPr="00C663FE">
              <w:rPr>
                <w:rFonts w:ascii="Calibri" w:eastAsia="Calibri" w:hAnsi="Calibri" w:cs="Calibri"/>
                <w:kern w:val="2"/>
                <w14:ligatures w14:val="standardContextual"/>
              </w:rPr>
              <w:t>UA</w:t>
            </w:r>
            <w:r w:rsidR="009538A8" w:rsidRPr="00C663FE">
              <w:rPr>
                <w:rFonts w:ascii="Calibri" w:eastAsia="Calibri" w:hAnsi="Calibri" w:cs="Calibri"/>
                <w:kern w:val="2"/>
                <w:lang w:val="ru-RU"/>
                <w14:ligatures w14:val="standardContextual"/>
              </w:rPr>
              <w:t>553020760000026032301473821</w:t>
            </w:r>
            <w:r w:rsidR="009538A8" w:rsidRPr="00C663FE">
              <w:rPr>
                <w:rFonts w:ascii="Calibri" w:eastAsia="Calibri" w:hAnsi="Calibri" w:cs="Calibri"/>
                <w:kern w:val="2"/>
                <w:lang w:val="uk-UA"/>
                <w14:ligatures w14:val="standardContextual"/>
              </w:rPr>
              <w:t xml:space="preserve"> </w:t>
            </w:r>
          </w:p>
          <w:p w14:paraId="72D198EC" w14:textId="43896937" w:rsidR="00D23ED5" w:rsidRPr="00C663FE" w:rsidRDefault="000B6D29" w:rsidP="0061454E">
            <w:pPr>
              <w:pStyle w:val="rvps14"/>
              <w:rPr>
                <w:rStyle w:val="spanrvts0"/>
                <w:lang w:val="uk-UA" w:eastAsia="uk"/>
              </w:rPr>
            </w:pPr>
            <w:r w:rsidRPr="00C663FE">
              <w:rPr>
                <w:rStyle w:val="spanrvts0"/>
                <w:lang w:val="uk-UA" w:eastAsia="uk"/>
              </w:rPr>
              <w:t xml:space="preserve">(для побутових споживачів) </w:t>
            </w:r>
          </w:p>
          <w:p w14:paraId="624BBD5E" w14:textId="60EAB584" w:rsidR="008C5DC3" w:rsidRPr="00C663FE" w:rsidRDefault="00D66F09" w:rsidP="008C5DC3">
            <w:pPr>
              <w:pStyle w:val="rvps14"/>
              <w:rPr>
                <w:rStyle w:val="spanrvts0"/>
                <w:rFonts w:eastAsia="Calibri"/>
                <w:lang w:val="uk" w:eastAsia="uk"/>
              </w:rPr>
            </w:pPr>
            <w:r w:rsidRPr="00C663FE">
              <w:rPr>
                <w:rStyle w:val="spanrvts0"/>
                <w:lang w:val="uk-UA" w:eastAsia="uk"/>
              </w:rPr>
              <w:t xml:space="preserve">п/р </w:t>
            </w:r>
            <w:r w:rsidR="009538A8" w:rsidRPr="00C663FE">
              <w:rPr>
                <w:rFonts w:ascii="Calibri" w:eastAsia="Calibri" w:hAnsi="Calibri" w:cs="Calibri"/>
                <w:kern w:val="2"/>
                <w14:ligatures w14:val="standardContextual"/>
              </w:rPr>
              <w:t>UA</w:t>
            </w:r>
            <w:r w:rsidR="009538A8" w:rsidRPr="00C663FE">
              <w:rPr>
                <w:rFonts w:ascii="Calibri" w:eastAsia="Calibri" w:hAnsi="Calibri" w:cs="Calibri"/>
                <w:kern w:val="2"/>
                <w:lang w:val="ru-RU"/>
                <w14:ligatures w14:val="standardContextual"/>
              </w:rPr>
              <w:t>603020760000026033300473821</w:t>
            </w:r>
          </w:p>
          <w:p w14:paraId="79606C34" w14:textId="4057EF2B" w:rsidR="000B6D29" w:rsidRPr="00C663FE" w:rsidRDefault="00FA7539" w:rsidP="0061454E">
            <w:pPr>
              <w:pStyle w:val="rvps14"/>
              <w:rPr>
                <w:rStyle w:val="spanrvts0"/>
                <w:lang w:val="uk-UA" w:eastAsia="uk"/>
              </w:rPr>
            </w:pPr>
            <w:r w:rsidRPr="00C663FE">
              <w:rPr>
                <w:rStyle w:val="spanrvts0"/>
                <w:lang w:val="uk-UA" w:eastAsia="uk"/>
              </w:rPr>
              <w:t>(для споживачів, що не є побутовим</w:t>
            </w:r>
            <w:r w:rsidR="00275EDB" w:rsidRPr="00C663FE">
              <w:rPr>
                <w:rStyle w:val="spanrvts0"/>
                <w:lang w:val="uk-UA" w:eastAsia="uk"/>
              </w:rPr>
              <w:t>и</w:t>
            </w:r>
            <w:r w:rsidRPr="00C663FE">
              <w:rPr>
                <w:rStyle w:val="spanrvts0"/>
                <w:lang w:val="uk-UA" w:eastAsia="uk"/>
              </w:rPr>
              <w:t>)</w:t>
            </w:r>
          </w:p>
          <w:p w14:paraId="6DE47B69" w14:textId="6A12B10A" w:rsidR="00D23ED5" w:rsidRPr="00C663FE" w:rsidRDefault="00242E06" w:rsidP="00B3120D">
            <w:pPr>
              <w:pStyle w:val="rvps14"/>
              <w:rPr>
                <w:rStyle w:val="spanrvts0"/>
                <w:lang w:val="uk" w:eastAsia="uk"/>
              </w:rPr>
            </w:pPr>
            <w:r w:rsidRPr="00C663FE">
              <w:rPr>
                <w:rStyle w:val="spanrvts0"/>
                <w:lang w:val="uk-UA" w:eastAsia="uk"/>
              </w:rPr>
              <w:br/>
            </w:r>
            <w:r w:rsidRPr="00C663FE">
              <w:rPr>
                <w:rStyle w:val="spanrvts0"/>
                <w:lang w:val="uk" w:eastAsia="uk"/>
              </w:rPr>
              <w:t xml:space="preserve">М.П. </w:t>
            </w:r>
          </w:p>
        </w:tc>
      </w:tr>
      <w:tr w:rsidR="00D23ED5" w:rsidRPr="004C1591" w14:paraId="445A0B58" w14:textId="77777777" w:rsidTr="007E6D6F">
        <w:trPr>
          <w:trHeight w:val="356"/>
        </w:trPr>
        <w:tc>
          <w:tcPr>
            <w:tcW w:w="6518" w:type="dxa"/>
            <w:tcMar>
              <w:top w:w="20" w:type="dxa"/>
              <w:left w:w="22" w:type="dxa"/>
              <w:bottom w:w="20" w:type="dxa"/>
              <w:right w:w="22" w:type="dxa"/>
            </w:tcMar>
            <w:hideMark/>
          </w:tcPr>
          <w:p w14:paraId="0BCC587E" w14:textId="6E0B2270" w:rsidR="00E67330" w:rsidRDefault="00E67330" w:rsidP="008904E2">
            <w:pPr>
              <w:pStyle w:val="rvps12"/>
              <w:jc w:val="left"/>
              <w:rPr>
                <w:rStyle w:val="spanrvts0"/>
                <w:lang w:val="uk" w:eastAsia="uk"/>
              </w:rPr>
            </w:pPr>
            <w:r>
              <w:rPr>
                <w:rStyle w:val="spanrvts0"/>
                <w:lang w:val="uk" w:eastAsia="uk"/>
              </w:rPr>
              <w:t>в.о. директора філії</w:t>
            </w:r>
          </w:p>
          <w:p w14:paraId="128D70BC" w14:textId="6661CA66" w:rsidR="00BE13EE" w:rsidRPr="00C663FE" w:rsidRDefault="00242E06" w:rsidP="008904E2">
            <w:pPr>
              <w:pStyle w:val="rvps12"/>
              <w:jc w:val="left"/>
              <w:rPr>
                <w:rStyle w:val="spanrvts0"/>
                <w:lang w:val="uk-UA" w:eastAsia="uk"/>
              </w:rPr>
            </w:pPr>
            <w:r w:rsidRPr="00C663FE">
              <w:rPr>
                <w:rStyle w:val="spanrvts0"/>
                <w:lang w:val="uk" w:eastAsia="uk"/>
              </w:rPr>
              <w:t>_________________________</w:t>
            </w:r>
            <w:r w:rsidR="004C1591">
              <w:rPr>
                <w:rStyle w:val="spanrvts0"/>
                <w:lang w:val="uk" w:eastAsia="uk"/>
              </w:rPr>
              <w:t>І.Р. КВІК</w:t>
            </w:r>
          </w:p>
          <w:p w14:paraId="71B4E8F6" w14:textId="3E55B0AE" w:rsidR="00570797" w:rsidRPr="00C663FE" w:rsidRDefault="008904E2" w:rsidP="008904E2">
            <w:pPr>
              <w:pStyle w:val="rvps12"/>
              <w:jc w:val="left"/>
              <w:rPr>
                <w:rStyle w:val="spanrvts0"/>
                <w:lang w:val="uk" w:eastAsia="uk"/>
              </w:rPr>
            </w:pPr>
            <w:r w:rsidRPr="00C663FE">
              <w:rPr>
                <w:rStyle w:val="spanrvts82"/>
                <w:lang w:val="uk" w:eastAsia="uk"/>
              </w:rPr>
              <w:t xml:space="preserve"> </w:t>
            </w:r>
          </w:p>
        </w:tc>
      </w:tr>
      <w:tr w:rsidR="00D23ED5" w:rsidRPr="00E67330" w14:paraId="2C04F0A6" w14:textId="77777777" w:rsidTr="004C1591">
        <w:trPr>
          <w:trHeight w:val="180"/>
        </w:trPr>
        <w:tc>
          <w:tcPr>
            <w:tcW w:w="6518" w:type="dxa"/>
            <w:tcMar>
              <w:top w:w="20" w:type="dxa"/>
              <w:left w:w="22" w:type="dxa"/>
              <w:bottom w:w="22" w:type="dxa"/>
              <w:right w:w="22" w:type="dxa"/>
            </w:tcMar>
          </w:tcPr>
          <w:p w14:paraId="4D72110D" w14:textId="509E912E" w:rsidR="00D23ED5" w:rsidRPr="00C663FE" w:rsidRDefault="00D23ED5" w:rsidP="00111DBA">
            <w:pPr>
              <w:pStyle w:val="rvps14"/>
              <w:rPr>
                <w:rStyle w:val="spanrvts0"/>
                <w:lang w:val="uk" w:eastAsia="uk"/>
              </w:rPr>
            </w:pPr>
            <w:bookmarkStart w:id="220" w:name="_GoBack"/>
            <w:bookmarkEnd w:id="220"/>
          </w:p>
        </w:tc>
      </w:tr>
    </w:tbl>
    <w:p w14:paraId="5490CA60" w14:textId="77777777" w:rsidR="00D23ED5" w:rsidRPr="00E67330" w:rsidRDefault="00D23ED5">
      <w:pPr>
        <w:rPr>
          <w:vanish/>
          <w:lang w:val="ru-RU"/>
        </w:rPr>
      </w:pPr>
    </w:p>
    <w:sectPr w:rsidR="00D23ED5" w:rsidRPr="00E67330">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D5"/>
    <w:rsid w:val="00024006"/>
    <w:rsid w:val="00031E3C"/>
    <w:rsid w:val="000A107A"/>
    <w:rsid w:val="000B6D29"/>
    <w:rsid w:val="000F1654"/>
    <w:rsid w:val="00104E7F"/>
    <w:rsid w:val="00111DBA"/>
    <w:rsid w:val="001459DC"/>
    <w:rsid w:val="0016040D"/>
    <w:rsid w:val="00185EE2"/>
    <w:rsid w:val="00195E64"/>
    <w:rsid w:val="00200DB7"/>
    <w:rsid w:val="00242E06"/>
    <w:rsid w:val="00275EDB"/>
    <w:rsid w:val="002F0B30"/>
    <w:rsid w:val="0031783D"/>
    <w:rsid w:val="00334E63"/>
    <w:rsid w:val="00344899"/>
    <w:rsid w:val="003518C1"/>
    <w:rsid w:val="00397CB2"/>
    <w:rsid w:val="003C715E"/>
    <w:rsid w:val="004235D4"/>
    <w:rsid w:val="00452D6B"/>
    <w:rsid w:val="00460FDF"/>
    <w:rsid w:val="0048180A"/>
    <w:rsid w:val="004C1591"/>
    <w:rsid w:val="00570797"/>
    <w:rsid w:val="005A798A"/>
    <w:rsid w:val="005C6C92"/>
    <w:rsid w:val="005F2FBC"/>
    <w:rsid w:val="00605FF8"/>
    <w:rsid w:val="00613470"/>
    <w:rsid w:val="0061454E"/>
    <w:rsid w:val="00615A4F"/>
    <w:rsid w:val="006557FE"/>
    <w:rsid w:val="00667EB7"/>
    <w:rsid w:val="006B1868"/>
    <w:rsid w:val="006D58C0"/>
    <w:rsid w:val="006F1398"/>
    <w:rsid w:val="00707FF8"/>
    <w:rsid w:val="00742D63"/>
    <w:rsid w:val="007979A3"/>
    <w:rsid w:val="007E6D6F"/>
    <w:rsid w:val="008144AC"/>
    <w:rsid w:val="00883DDD"/>
    <w:rsid w:val="00884034"/>
    <w:rsid w:val="0088515B"/>
    <w:rsid w:val="008904E2"/>
    <w:rsid w:val="008B423C"/>
    <w:rsid w:val="008B447C"/>
    <w:rsid w:val="008C5DC3"/>
    <w:rsid w:val="008D481E"/>
    <w:rsid w:val="008F1E06"/>
    <w:rsid w:val="009251A8"/>
    <w:rsid w:val="009415D8"/>
    <w:rsid w:val="009538A8"/>
    <w:rsid w:val="00971DA7"/>
    <w:rsid w:val="00A40ECE"/>
    <w:rsid w:val="00AE31F0"/>
    <w:rsid w:val="00B24192"/>
    <w:rsid w:val="00B3120D"/>
    <w:rsid w:val="00B83261"/>
    <w:rsid w:val="00B87D03"/>
    <w:rsid w:val="00BA4084"/>
    <w:rsid w:val="00BC3020"/>
    <w:rsid w:val="00BD5BBB"/>
    <w:rsid w:val="00BE13EE"/>
    <w:rsid w:val="00BF09F0"/>
    <w:rsid w:val="00C663FE"/>
    <w:rsid w:val="00CB4D11"/>
    <w:rsid w:val="00D235D7"/>
    <w:rsid w:val="00D23ED5"/>
    <w:rsid w:val="00D3265F"/>
    <w:rsid w:val="00D66F09"/>
    <w:rsid w:val="00DC6B44"/>
    <w:rsid w:val="00E10051"/>
    <w:rsid w:val="00E10E91"/>
    <w:rsid w:val="00E474FB"/>
    <w:rsid w:val="00E6528A"/>
    <w:rsid w:val="00E67330"/>
    <w:rsid w:val="00E94249"/>
    <w:rsid w:val="00EA0405"/>
    <w:rsid w:val="00EC0437"/>
    <w:rsid w:val="00F21FDF"/>
    <w:rsid w:val="00F62104"/>
    <w:rsid w:val="00FA7539"/>
    <w:rsid w:val="00FB44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выноски Знак"/>
    <w:basedOn w:val="a0"/>
    <w:link w:val="a5"/>
    <w:uiPriority w:val="99"/>
    <w:semiHidden/>
    <w:rsid w:val="00BC3020"/>
    <w:rPr>
      <w:rFonts w:ascii="Tahoma" w:hAnsi="Tahoma" w:cs="Tahoma"/>
      <w:sz w:val="16"/>
      <w:szCs w:val="16"/>
    </w:rPr>
  </w:style>
  <w:style w:type="character" w:customStyle="1" w:styleId="ui-provider">
    <w:name w:val="ui-provider"/>
    <w:basedOn w:val="a0"/>
    <w:rsid w:val="00D3265F"/>
  </w:style>
  <w:style w:type="character" w:styleId="a7">
    <w:name w:val="Hyperlink"/>
    <w:basedOn w:val="a0"/>
    <w:uiPriority w:val="99"/>
    <w:semiHidden/>
    <w:unhideWhenUsed/>
    <w:rsid w:val="00953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выноски Знак"/>
    <w:basedOn w:val="a0"/>
    <w:link w:val="a5"/>
    <w:uiPriority w:val="99"/>
    <w:semiHidden/>
    <w:rsid w:val="00BC3020"/>
    <w:rPr>
      <w:rFonts w:ascii="Tahoma" w:hAnsi="Tahoma" w:cs="Tahoma"/>
      <w:sz w:val="16"/>
      <w:szCs w:val="16"/>
    </w:rPr>
  </w:style>
  <w:style w:type="character" w:customStyle="1" w:styleId="ui-provider">
    <w:name w:val="ui-provider"/>
    <w:basedOn w:val="a0"/>
    <w:rsid w:val="00D3265F"/>
  </w:style>
  <w:style w:type="character" w:styleId="a7">
    <w:name w:val="Hyperlink"/>
    <w:basedOn w:val="a0"/>
    <w:uiPriority w:val="99"/>
    <w:semiHidden/>
    <w:unhideWhenUsed/>
    <w:rsid w:val="00953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 w:id="182203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79-15" TargetMode="External"/><Relationship Id="rId18" Type="http://schemas.openxmlformats.org/officeDocument/2006/relationships/hyperlink" Target="https://vn.grmu.com.ua/" TargetMode="External"/><Relationship Id="rId26" Type="http://schemas.openxmlformats.org/officeDocument/2006/relationships/hyperlink" Target="https://zakon.rada.gov.ua/laws/show/z1379-15" TargetMode="External"/><Relationship Id="rId39"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42" Type="http://schemas.openxmlformats.org/officeDocument/2006/relationships/hyperlink" Target="https://zakon.rada.gov.ua/laws/file/imgs/76/p450133n224.bmp" TargetMode="External"/><Relationship Id="rId47" Type="http://schemas.openxmlformats.org/officeDocument/2006/relationships/image" Target="media/image3.gif"/><Relationship Id="rId50" Type="http://schemas.openxmlformats.org/officeDocument/2006/relationships/hyperlink" Target="https://zakon.rada.gov.ua/laws/file/imgs/82/p450133n225v1-4.emf" TargetMode="External"/><Relationship Id="rId55" Type="http://schemas.openxmlformats.org/officeDocument/2006/relationships/hyperlink" Target="https://zakon.rada.gov.ua/laws/show/z1379-15"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76" Type="http://schemas.openxmlformats.org/officeDocument/2006/relationships/theme" Target="theme/theme1.xml"/><Relationship Id="rId7" Type="http://schemas.openxmlformats.org/officeDocument/2006/relationships/hyperlink" Target="https://zakon.rada.gov.ua/laws/show/329-19" TargetMode="External"/><Relationship Id="rId71"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8-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8-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620-2002-%D0%BF" TargetMode="External"/><Relationship Id="rId40" Type="http://schemas.openxmlformats.org/officeDocument/2006/relationships/hyperlink" Target="https://zakon.rada.gov.ua/laws/show/z1379-15" TargetMode="External"/><Relationship Id="rId45" Type="http://schemas.openxmlformats.org/officeDocument/2006/relationships/image" Target="media/image2.gif"/><Relationship Id="rId53" Type="http://schemas.openxmlformats.org/officeDocument/2006/relationships/image" Target="media/image6.gif"/><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74" Type="http://schemas.openxmlformats.org/officeDocument/2006/relationships/hyperlink" Target="https://zakon.rada.gov.ua/laws/show/2456-17" TargetMode="External"/><Relationship Id="rId5" Type="http://schemas.openxmlformats.org/officeDocument/2006/relationships/settings" Target="settings.xml"/><Relationship Id="rId15" Type="http://schemas.openxmlformats.org/officeDocument/2006/relationships/hyperlink" Target="https://www.nerc.gov.ua/acts/pro-vnesennya-zmin-do-dodatka-do-postanovi-nkrekp-vid-26-grudnya-2022-roku-1839-ta-vregulyuvannya-pitan-shchodo-provadzhennya-tov-gazorozpodilni-merezhi-ukrayini-diyalnosti-z-rozpodilu-prir-4"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image" Target="media/image4.gif"/><Relationship Id="rId57"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79-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file/imgs/82/p450133n225v1-1.emf" TargetMode="External"/><Relationship Id="rId52" Type="http://schemas.openxmlformats.org/officeDocument/2006/relationships/hyperlink" Target="https://zakon.rada.gov.ua/laws/file/imgs/82/p450133n225v1-5.emf"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hyperlink" Target="https://zakon.rada.gov.ua/laws/show/3533-17" TargetMode="External"/><Relationship Id="rId4" Type="http://schemas.microsoft.com/office/2007/relationships/stylesWithEffects" Target="stylesWithEffect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image" Target="media/image1.gif"/><Relationship Id="rId48" Type="http://schemas.openxmlformats.org/officeDocument/2006/relationships/hyperlink" Target="https://zakon.rada.gov.ua/laws/file/imgs/82/p450133n225v1-3.emf"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z1379-15" TargetMode="External"/><Relationship Id="rId51" Type="http://schemas.openxmlformats.org/officeDocument/2006/relationships/image" Target="media/image5.gif"/><Relationship Id="rId72" Type="http://schemas.openxmlformats.org/officeDocument/2006/relationships/hyperlink" Target="https://zakon.rada.gov.ua/laws/show/z1379-15" TargetMode="External"/><Relationship Id="rId3" Type="http://schemas.openxmlformats.org/officeDocument/2006/relationships/styles" Target="style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z1378-15" TargetMode="External"/><Relationship Id="rId25" Type="http://schemas.openxmlformats.org/officeDocument/2006/relationships/hyperlink" Target="https://zakon.rada.gov.ua/laws/show/z0674-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hyperlink" Target="https://zakon.rada.gov.ua/laws/file/imgs/82/p450133n225v1-2.emf" TargetMode="External"/><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329-19" TargetMode="External"/><Relationship Id="rId41" Type="http://schemas.openxmlformats.org/officeDocument/2006/relationships/hyperlink" Target="https://zakon.rada.gov.ua/laws/show/z1379-15"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z1379-1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022D-5337-4505-B2E0-E827F94C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7434</Words>
  <Characters>42374</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Типового договору розподілу природного газу | від 30.09.2015 № 2498</vt:lpstr>
      <vt:lpstr>Про затвердження Типового договору розподілу природного газу | від 30.09.2015 № 2498</vt:lpstr>
    </vt:vector>
  </TitlesOfParts>
  <Company>SPecialiST RePack</Company>
  <LinksUpToDate>false</LinksUpToDate>
  <CharactersWithSpaces>49709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Логінова Лариса Григорівна</cp:lastModifiedBy>
  <cp:revision>11</cp:revision>
  <dcterms:created xsi:type="dcterms:W3CDTF">2023-08-30T16:12:00Z</dcterms:created>
  <dcterms:modified xsi:type="dcterms:W3CDTF">2024-08-27T08:00:00Z</dcterms:modified>
</cp:coreProperties>
</file>